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Data Sources &amp; Licensing Guide</w:t>
      </w:r>
    </w:p>
    <w:p>
      <w:r>
        <w:t>한국어 | English</w:t>
      </w:r>
    </w:p>
    <w:p>
      <w:r>
        <w:t>This document describes the primary data sources, service endpoints, operational constraints, and licensing considerations for the KONEPS Procurement Intelligence pipeline.</w:t>
      </w:r>
    </w:p>
    <w:p>
      <w:pPr>
        <w:pStyle w:val="Heading1"/>
      </w:pPr>
      <w:r>
        <w:t>1. Korean Public Data Portal (data.go.kr) APIs</w:t>
      </w:r>
    </w:p>
    <w:p>
      <w:r>
        <w:t>The primary automated ingestion stream relies on official Open Data Standard APIs provided by South Korea's Public Procurement Service (조달청 나라장터 / KONEPS) via the Public Data Portal (data.go.kr).</w:t>
      </w:r>
    </w:p>
    <w:p>
      <w:pPr>
        <w:pStyle w:val="ListBullet"/>
      </w:pPr>
      <w:r>
        <w:t>Service Name: 조달청_나라장터 공공데이터개방표준서비스 (KONEPS Public Data Open Standard Service)</w:t>
      </w:r>
    </w:p>
    <w:p>
      <w:pPr>
        <w:pStyle w:val="ListBullet"/>
      </w:pPr>
      <w:r>
        <w:t>Base Endpoint: https://apis.data.go.kr/1230000/ao/PubDataOpnStdService</w:t>
      </w:r>
    </w:p>
    <w:p>
      <w:pPr>
        <w:pStyle w:val="ListBullet"/>
      </w:pPr>
      <w:r>
        <w:t>Protocol: HTTPS GET (JSON and XML response payloads)</w:t>
      </w:r>
    </w:p>
    <w:p>
      <w:pPr>
        <w:pStyle w:val="ListBullet"/>
      </w:pPr>
      <w:r>
        <w:t>Authentication: ServiceKey (Standard decoding key issued per account)</w:t>
      </w:r>
    </w:p>
    <w:p>
      <w:pPr>
        <w:pStyle w:val="ListBullet"/>
      </w:pPr>
      <w:r>
        <w:t>Observed Limits:</w:t>
      </w:r>
    </w:p>
    <w:p>
      <w:pPr>
        <w:pStyle w:val="ListBullet"/>
      </w:pPr>
      <w:r>
        <w:t>Configured key successfully performed 2,365 API calls without a quota error during the August 2026 pilot.</w:t>
      </w:r>
    </w:p>
    <w:p>
      <w:pPr>
        <w:pStyle w:val="Heading2"/>
      </w:pPr>
      <w:r>
        <w:t>Supported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Operation Name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Temporal Parameter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Date Format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Pacing / Window Strategy</w:t>
            </w:r>
          </w:p>
        </w:tc>
      </w:tr>
      <w:tr>
        <w:tc>
          <w:tcPr>
            <w:tcW w:type="dxa" w:w="1872"/>
          </w:tcPr>
          <w:p>
            <w:r>
              <w:t>Tender Notices (bids)</w:t>
            </w:r>
          </w:p>
        </w:tc>
        <w:tc>
          <w:tcPr>
            <w:tcW w:type="dxa" w:w="1872"/>
          </w:tcPr>
          <w:p>
            <w:r>
              <w:t>getDataSetOpnStdBidPblancInfo</w:t>
            </w:r>
          </w:p>
        </w:tc>
        <w:tc>
          <w:tcPr>
            <w:tcW w:type="dxa" w:w="1872"/>
          </w:tcPr>
          <w:p>
            <w:r>
              <w:t>bidNtceBgnDt ~ bidNtceEndDt</w:t>
            </w:r>
          </w:p>
        </w:tc>
        <w:tc>
          <w:tcPr>
            <w:tcW w:type="dxa" w:w="1872"/>
          </w:tcPr>
          <w:p>
            <w:r>
              <w:t>YYYYMMDDHHMM</w:t>
            </w:r>
          </w:p>
        </w:tc>
        <w:tc>
          <w:tcPr>
            <w:tcW w:type="dxa" w:w="1872"/>
          </w:tcPr>
          <w:p>
            <w:r>
              <w:t>Monthly calendar slices (month_windows)</w:t>
            </w:r>
          </w:p>
        </w:tc>
      </w:tr>
      <w:tr>
        <w:tc>
          <w:tcPr>
            <w:tcW w:type="dxa" w:w="1872"/>
          </w:tcPr>
          <w:p>
            <w:r>
              <w:t>Successful Bids (awards)</w:t>
            </w:r>
          </w:p>
        </w:tc>
        <w:tc>
          <w:tcPr>
            <w:tcW w:type="dxa" w:w="1872"/>
          </w:tcPr>
          <w:p>
            <w:r>
              <w:t>getDataSetOpnStdScsbidInfo</w:t>
            </w:r>
          </w:p>
        </w:tc>
        <w:tc>
          <w:tcPr>
            <w:tcW w:type="dxa" w:w="1872"/>
          </w:tcPr>
          <w:p>
            <w:r>
              <w:t>opengBgnDt ~ opengEndDt</w:t>
            </w:r>
          </w:p>
        </w:tc>
        <w:tc>
          <w:tcPr>
            <w:tcW w:type="dxa" w:w="1872"/>
          </w:tcPr>
          <w:p>
            <w:r>
              <w:t>YYYYMMDDHHMM</w:t>
            </w:r>
          </w:p>
        </w:tc>
        <w:tc>
          <w:tcPr>
            <w:tcW w:type="dxa" w:w="1872"/>
          </w:tcPr>
          <w:p>
            <w:r>
              <w:t>1-day windows (API v1.2 required), partitioned by business division (bsnsDivCd 1, 2, 3, 5)</w:t>
            </w:r>
          </w:p>
        </w:tc>
      </w:tr>
      <w:tr>
        <w:tc>
          <w:tcPr>
            <w:tcW w:type="dxa" w:w="1872"/>
          </w:tcPr>
          <w:p>
            <w:r>
              <w:t>Contracts (contracts)</w:t>
            </w:r>
          </w:p>
        </w:tc>
        <w:tc>
          <w:tcPr>
            <w:tcW w:type="dxa" w:w="1872"/>
          </w:tcPr>
          <w:p>
            <w:r>
              <w:t>getDataSetOpnStdCntrctInfo</w:t>
            </w:r>
          </w:p>
        </w:tc>
        <w:tc>
          <w:tcPr>
            <w:tcW w:type="dxa" w:w="1872"/>
          </w:tcPr>
          <w:p>
            <w:r>
              <w:t>cntrctCnclsBgnDate ~ cntrctCnclsEndDate</w:t>
            </w:r>
          </w:p>
        </w:tc>
        <w:tc>
          <w:tcPr>
            <w:tcW w:type="dxa" w:w="1872"/>
          </w:tcPr>
          <w:p>
            <w:r>
              <w:t>YYYYMMDD</w:t>
            </w:r>
          </w:p>
        </w:tc>
        <w:tc>
          <w:tcPr>
            <w:tcW w:type="dxa" w:w="1872"/>
          </w:tcPr>
          <w:p>
            <w:r>
              <w:t>7-day weekly slices (week_windows)</w:t>
            </w:r>
          </w:p>
        </w:tc>
      </w:tr>
    </w:tbl>
    <w:p/>
    <w:p>
      <w:pPr>
        <w:pStyle w:val="Heading2"/>
      </w:pPr>
      <w:r>
        <w:t>Business Divisions (bsnsDivCd)</w:t>
      </w:r>
    </w:p>
    <w:p>
      <w:r>
        <w:t>For endpoints requiring business division segmentation (awards):</w:t>
      </w:r>
    </w:p>
    <w:p>
      <w:pPr>
        <w:pStyle w:val="ListBullet"/>
      </w:pPr>
      <w:r>
        <w:t>1: Goods (물품)</w:t>
      </w:r>
    </w:p>
    <w:p>
      <w:pPr>
        <w:pStyle w:val="ListBullet"/>
      </w:pPr>
      <w:r>
        <w:t>2: Foreign Supplies (외자)</w:t>
      </w:r>
    </w:p>
    <w:p>
      <w:pPr>
        <w:pStyle w:val="ListBullet"/>
      </w:pPr>
      <w:r>
        <w:t>3: Construction / Civil Works (공사) — accounts for ~77.6% of all awards records</w:t>
      </w:r>
    </w:p>
    <w:p>
      <w:pPr>
        <w:pStyle w:val="ListBullet"/>
      </w:pPr>
      <w:r>
        <w:t>5: Services / Consulting (용역)</w:t>
      </w:r>
    </w:p>
    <w:p>
      <w:pPr>
        <w:pStyle w:val="Heading1"/>
      </w:pPr>
      <w:r>
        <w:t>2. Official KONEPS Bidder Outcome Report Export</w:t>
      </w:r>
    </w:p>
    <w:p>
      <w:r>
        <w:t>In addition to standard API feeds, detailed bidder-level competition records can be ingested from official KONEPS exports:</w:t>
      </w:r>
    </w:p>
    <w:p>
      <w:pPr>
        <w:pStyle w:val="ListBullet"/>
      </w:pPr>
      <w:r>
        <w:t>Source Portal: KONEPS Open Procurement Data Portal (조달청 나라장터)</w:t>
      </w:r>
    </w:p>
    <w:p>
      <w:pPr>
        <w:pStyle w:val="ListBullet"/>
      </w:pPr>
      <w:r>
        <w:t>Report Name: 입찰공고 기업별 투찰 및 계약내역 (Tender Notice Bidder-Level Bidding &amp; Contract History)</w:t>
      </w:r>
    </w:p>
    <w:p>
      <w:pPr>
        <w:pStyle w:val="ListBullet"/>
      </w:pPr>
      <w:r>
        <w:t>Ingestion Script: scripts/ingest_bidder_report.py</w:t>
      </w:r>
    </w:p>
    <w:p>
      <w:pPr>
        <w:pStyle w:val="ListBullet"/>
      </w:pPr>
      <w:r>
        <w:t>Supported Formats: CSV (.csv), Excel (.xlsx, .xls)</w:t>
      </w:r>
    </w:p>
    <w:p>
      <w:pPr>
        <w:pStyle w:val="ListBullet"/>
      </w:pPr>
      <w:r>
        <w:t>Role: Because the live awards API already provides full bidder submissions, portal exports serve as Optional Enrichment &amp; Cross-Validation.</w:t>
      </w:r>
    </w:p>
    <w:p>
      <w:pPr>
        <w:pStyle w:val="Heading1"/>
      </w:pPr>
      <w:r>
        <w:t>3. Data Governance &amp; Licensing</w:t>
      </w:r>
    </w:p>
    <w:p>
      <w:pPr>
        <w:pStyle w:val="Heading2"/>
      </w:pPr>
      <w:r>
        <w:t>Source Data Licensing</w:t>
      </w:r>
    </w:p>
    <w:p>
      <w:pPr>
        <w:pStyle w:val="ListBullet"/>
      </w:pPr>
      <w:r>
        <w:t>Public data distributed through data.go.kr and KONEPS is published under South Korea's Act on Promotion of the Provision and Use of Public Data (공공데이터의 제공 및 이용 활성화에 관한 법률) and the Korea Open Government License (공공누리 / KOGL).</w:t>
      </w:r>
    </w:p>
    <w:p>
      <w:pPr>
        <w:pStyle w:val="ListBullet"/>
      </w:pPr>
      <w:r>
        <w:t>Specific datasets are subject to their individual terms of provision indicated on each service page. Terms will be re-verified prior to public redistribution.</w:t>
      </w:r>
    </w:p>
    <w:p>
      <w:pPr>
        <w:pStyle w:val="ListBullet"/>
      </w:pPr>
      <w:r>
        <w:t>Code vs. Data Separation: Source code is versioned in GitHub; collected procurement datasets are excluded (.gitignore) and distributed independently via Kaggle Datasets.</w:t>
      </w:r>
    </w:p>
    <w:p>
      <w:pPr>
        <w:pStyle w:val="Heading2"/>
      </w:pPr>
      <w:r>
        <w:t>Responsible Publication Checkpoints</w:t>
      </w:r>
    </w:p>
    <w:p>
      <w:pPr>
        <w:pStyle w:val="ListNumber"/>
      </w:pPr>
      <w:r>
        <w:t>Source-by-Source License Re-Verification: Prior to public Kaggle release, verify the exact terms of use and attribution requirements for each specific data.go.kr service endpoint (getDataSetOpnStdBidPblancInfo, getDataSetOpnStdScsbidInfo, getDataSetOpnStdCntrctInfo) and KONEPS portal export.</w:t>
      </w:r>
    </w:p>
    <w:p>
      <w:pPr>
        <w:pStyle w:val="ListNumber"/>
      </w:pPr>
      <w:r>
        <w:t>Business Registration Numbers: Korean business registration numbers (사업자등록번호) identify commercial entities. Public releases will provide a stable pseudonymized hash (supplier_id) and masked string (123-45-*).</w:t>
      </w:r>
    </w:p>
    <w:p>
      <w:pPr>
        <w:pStyle w:val="ListNumber"/>
      </w:pPr>
      <w:r>
        <w:t>Personal Data Protection: Personal identification numbers (e.g. resident registration numbers) are strictly excluded by public APIs.</w:t>
      </w:r>
    </w:p>
    <w:p>
      <w:pPr>
        <w:pStyle w:val="ListNumber"/>
      </w:pPr>
      <w:r>
        <w:t>No Credential Exposure: API keys, service tokens, and .env files are strictly excluded from source control.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