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August 2026 KONEPS Pilot Dataset Validation &amp; Audit Report</w:t>
      </w:r>
    </w:p>
    <w:p>
      <w:r>
        <w:t>한국어 | English</w:t>
      </w:r>
    </w:p>
    <w:p>
      <w:r>
        <w:t>This technical report documents the empirical audit of the 1-month benchmark pilot dataset (2026-08-01 through 2026-08-31) for South Korea's Public Procurement Service (KONEPS) OpenAPI (PubDataOpnStdService v1.2) across tender notices (bids), executed contracts (contracts), and opening/award decisions (awards). All figures are derived strictly from the deterministic metrics artifact (data/processed/audits/pilot_2026_08_metrics.json).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Reconciliation Note:</w:t>
      </w:r>
    </w:p>
    <w:p>
      <w:pPr>
        <w:ind w:left="432"/>
      </w:pPr>
      <w:r>
        <w:rPr>
          <w:i/>
          <w:color w:val="646464"/>
        </w:rPr>
        <w:t>This authoritative audit resolves earlier provisional discrepancies caused by September 1 smoke-test records coexisting in processed directories. All metrics reported here are strictly filtered by event dates (bid_notice_date, opening_date, contract_date) falling within 2026-08-01 to 2026-08-31.</w:t>
      </w:r>
    </w:p>
    <w:p>
      <w:pPr>
        <w:pStyle w:val="Heading1"/>
      </w:pPr>
      <w:r>
        <w:t>1. Scope &amp; Window Strategy</w:t>
      </w:r>
    </w:p>
    <w:p>
      <w:pPr>
        <w:pStyle w:val="ListBullet"/>
      </w:pPr>
      <w:r>
        <w:t>Target Scope: August 1, 2026 through August 31, 2026 (31 days)</w:t>
      </w:r>
    </w:p>
    <w:p>
      <w:pPr>
        <w:pStyle w:val="ListBullet"/>
      </w:pPr>
      <w:r>
        <w:t>Window Strategy:</w:t>
      </w:r>
    </w:p>
    <w:p>
      <w:pPr>
        <w:pStyle w:val="ListNumber"/>
      </w:pPr>
      <w:r>
        <w:t>bids (getDataSetOpnStdBidPblancInfo): 1 monthly window (31 days)</w:t>
      </w:r>
    </w:p>
    <w:p>
      <w:pPr>
        <w:pStyle w:val="ListNumber"/>
      </w:pPr>
      <w:r>
        <w:t>contracts (getDataSetOpnStdCntrctInfo): 5 weekly windows (7-day partitions)</w:t>
      </w:r>
    </w:p>
    <w:p>
      <w:pPr>
        <w:pStyle w:val="ListNumber"/>
      </w:pPr>
      <w:r>
        <w:t>awards (getDataSetOpnStdScsbidInfo): 124 daily windows (31 days × 4 business divisions: goods, foreign, construction, service)</w:t>
      </w:r>
    </w:p>
    <w:p>
      <w:pPr>
        <w:pStyle w:val="ListBullet"/>
      </w:pPr>
      <w:r>
        <w:t>Page Size: Configured to maximum official allowance of pageSize=999</w:t>
      </w:r>
    </w:p>
    <w:p>
      <w:pPr>
        <w:pStyle w:val="Heading1"/>
      </w:pPr>
      <w:r>
        <w:t>2. Collection Volume &amp; API Traffic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Feed</w:t>
            </w:r>
          </w:p>
        </w:tc>
        <w:tc>
          <w:tcPr>
            <w:tcW w:type="dxa" w:w="1560"/>
          </w:tcPr>
          <w:p>
            <w:r>
              <w:rPr>
                <w:b/>
              </w:rPr>
              <w:t>Windows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Calls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Compressed Gzip Size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t>bids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contracts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awards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Total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100% Success (0 Failures)</w:t>
            </w:r>
          </w:p>
        </w:tc>
      </w:tr>
    </w:tbl>
    <w:p/>
    <w:p>
      <w:pPr>
        <w:pStyle w:val="Heading2"/>
      </w:pPr>
      <w:r>
        <w:t>Awards Volume by Business Category</w:t>
      </w:r>
    </w:p>
    <w:p>
      <w:pPr>
        <w:pStyle w:val="ListBullet"/>
      </w:pPr>
      <w:r>
        <w:t>Construction (construction, code 3): 31 windows, 1,646,350 rows (77.65%), 1,668 API calls</w:t>
      </w:r>
    </w:p>
    <w:p>
      <w:pPr>
        <w:pStyle w:val="ListBullet"/>
      </w:pPr>
      <w:r>
        <w:t>Goods (goods, code 1): 31 windows, 328,201 rows (17.79%), 347 API calls</w:t>
      </w:r>
    </w:p>
    <w:p>
      <w:pPr>
        <w:pStyle w:val="ListBullet"/>
      </w:pPr>
      <w:r>
        <w:t>Services (service, code 5): 31 windows, 145,425 rows (4.54%), 167 API calls</w:t>
      </w:r>
    </w:p>
    <w:p>
      <w:pPr>
        <w:pStyle w:val="ListBullet"/>
      </w:pPr>
      <w:r>
        <w:t>Foreign (foreign, code 2): 31 windows, 132 rows (0.01%), 31 API calls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Quota Observation:</w:t>
      </w:r>
    </w:p>
    <w:p>
      <w:pPr>
        <w:ind w:left="432"/>
      </w:pPr>
      <w:r>
        <w:rPr>
          <w:i/>
          <w:color w:val="646464"/>
        </w:rPr>
        <w:t>The configured API key completed 2,365 live requests in a single continuous session without encountering quota exhaustion errors.</w:t>
      </w:r>
    </w:p>
    <w:p>
      <w:pPr>
        <w:pStyle w:val="Heading1"/>
      </w:pPr>
      <w:r>
        <w:t>3. Lossless Deduplication &amp; Collision Forensics</w:t>
      </w:r>
    </w:p>
    <w:p>
      <w:pPr>
        <w:pStyle w:val="Heading2"/>
      </w:pPr>
      <w:r>
        <w:t>3.1 Lossless Grain Refinement</w:t>
      </w:r>
    </w:p>
    <w:p>
      <w:r>
        <w:t>When applying the previous 5-column candidate key, 1,067 legitimate distinct bids in multi-lot tenders (e.g. R26BK01634241) were erroneously collapsed. The deduplication grain was refined to: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Deduplication Accounting &amp; Collision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Feed / Category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Exact Duplicates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Legacy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Current Lossless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Preserved Submissions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Processed Parquet Rows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Subtotal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Total Overall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Forensic Classification of Non-Exact Collisions (1,071 Rows)</w:t>
      </w:r>
    </w:p>
    <w:p>
      <w:pPr>
        <w:pStyle w:val="ListBullet"/>
      </w:pPr>
      <w:r>
        <w:t>Class A (Exact full-row duplicates): 11,089 rows</w:t>
      </w:r>
    </w:p>
    <w:p>
      <w:pPr>
        <w:pStyle w:val="ListBullet"/>
      </w:pPr>
      <w:r>
        <w:t>Class B (Same bidder later enrichment/update): 26 rows</w:t>
      </w:r>
    </w:p>
    <w:p>
      <w:pPr>
        <w:pStyle w:val="ListBullet"/>
      </w:pPr>
      <w:r>
        <w:t>Class C (Opening status change, opengRsltDivNm): 101 rows</w:t>
      </w:r>
    </w:p>
    <w:p>
      <w:pPr>
        <w:pStyle w:val="ListBullet"/>
      </w:pPr>
      <w:r>
        <w:t>Class D (Price field backfill, rsrvtnPrce/bssAmt): 68 rows</w:t>
      </w:r>
    </w:p>
    <w:p>
      <w:pPr>
        <w:pStyle w:val="ListBullet"/>
      </w:pPr>
      <w:r>
        <w:t>Class E (Final award metadata backfill, fnlSucsf...): 70 rows</w:t>
      </w:r>
    </w:p>
    <w:p>
      <w:pPr>
        <w:pStyle w:val="ListBullet"/>
      </w:pPr>
      <w:r>
        <w:t>Class F (Distinct amount/time submissions): 1,873 instances under legacy key → 1,067 distinct submissions fully preserved (0 collapsed) under the refined key.</w:t>
      </w:r>
    </w:p>
    <w:p>
      <w:pPr>
        <w:pStyle w:val="ListBullet"/>
      </w:pPr>
      <w:r>
        <w:t>Class G (Unresolved): 0 rows</w:t>
      </w:r>
    </w:p>
    <w:p>
      <w:pPr>
        <w:pStyle w:val="Heading1"/>
      </w:pPr>
      <w:r>
        <w:t>4. Final Winner Cardinality Analysis</w:t>
      </w:r>
    </w:p>
    <w:p>
      <w:r>
        <w:t>Distribution across 24,978 distinct tender notices in August awards:</w:t>
      </w:r>
    </w:p>
    <w:p>
      <w:pPr>
        <w:pStyle w:val="ListNumber"/>
      </w:pPr>
      <w:r>
        <w:t>Selected Winner Flag (is_selected_winner == True):</w:t>
      </w:r>
    </w:p>
    <w:p>
      <w:pPr>
        <w:pStyle w:val="ListBullet"/>
      </w:pPr>
      <w:r>
        <w:t>0 Winners: 8,197 tenders (32.82%) — Failed bids or pending review.</w:t>
      </w:r>
    </w:p>
    <w:p>
      <w:pPr>
        <w:pStyle w:val="ListBullet"/>
      </w:pPr>
      <w:r>
        <w:t>1 Winner: 16,741 tenders (67.02%) — Standard single-winner procurement.</w:t>
      </w:r>
    </w:p>
    <w:p>
      <w:pPr>
        <w:pStyle w:val="ListBullet"/>
      </w:pPr>
      <w:r>
        <w:t>2+ Winners: 40 tenders (0.16%) — Multi-lot allocations or joint awards.</w:t>
      </w:r>
    </w:p>
    <w:p>
      <w:pPr>
        <w:pStyle w:val="ListNumber"/>
      </w:pPr>
      <w:r>
        <w:t>Multi-Winner Empirical Cases:</w:t>
      </w:r>
    </w:p>
    <w:p>
      <w:pPr>
        <w:pStyle w:val="ListBullet"/>
      </w:pPr>
      <w:r>
        <w:t>Tender R26BK01649062: 26 separate items awarded across 3 distinct enterprises (26 winning rows).</w:t>
      </w:r>
    </w:p>
    <w:p>
      <w:pPr>
        <w:pStyle w:val="ListBullet"/>
      </w:pPr>
      <w:r>
        <w:t>Tender R26BK01645359: 5 item classifications awarded across 2 enterprises (5 winning rows).</w:t>
      </w:r>
    </w:p>
    <w:p>
      <w:pPr>
        <w:pStyle w:val="ListNumber"/>
      </w:pPr>
      <w:r>
        <w:t>Relational Grain Decision:</w:t>
      </w:r>
    </w:p>
    <w:p>
      <w:pPr>
        <w:pStyle w:val="ListBullet"/>
      </w:pPr>
      <w:r>
        <w:t>Winner outcomes cannot be flattened to 1:1; must be modeled as tenders (1) : award_outcomes (0..N).</w:t>
      </w:r>
    </w:p>
    <w:p>
      <w:pPr>
        <w:pStyle w:val="Heading1"/>
      </w:pPr>
      <w:r>
        <w:t>5. Cross-Feed Cardinality</w:t>
      </w:r>
    </w:p>
    <w:p>
      <w:pPr>
        <w:pStyle w:val="Heading2"/>
      </w:pPr>
      <w:r>
        <w:t>5.1 Tender to Bidders (bids to awards)</w:t>
      </w:r>
    </w:p>
    <w:p>
      <w:pPr>
        <w:pStyle w:val="ListBullet"/>
      </w:pPr>
      <w:r>
        <w:t>Distinct bids tenders: 32,895; Distinct awards tenders: 24,978; Overlapping in month: 17,853.</w:t>
      </w:r>
    </w:p>
    <w:p>
      <w:pPr>
        <w:pStyle w:val="ListBullet"/>
      </w:pPr>
      <w:r>
        <w:t>Bidders per Tender Distribution:</w:t>
      </w:r>
    </w:p>
    <w:p>
      <w:pPr>
        <w:pStyle w:val="ListBullet"/>
      </w:pPr>
      <w:r>
        <w:t>Overall Mean: 84.39 bidders (Median: 3.0, Max: 9,675)</w:t>
      </w:r>
    </w:p>
    <w:p>
      <w:pPr>
        <w:pStyle w:val="ListBullet"/>
      </w:pPr>
      <w:r>
        <w:t>Construction: Mean 240.93 (Median: 57.0, Max: 9,675)</w:t>
      </w:r>
    </w:p>
    <w:p>
      <w:pPr>
        <w:pStyle w:val="ListBullet"/>
      </w:pPr>
      <w:r>
        <w:t>Goods: Mean 37.02 (Median: 2.0, Max: 6,052)</w:t>
      </w:r>
    </w:p>
    <w:p>
      <w:pPr>
        <w:pStyle w:val="ListBullet"/>
      </w:pPr>
      <w:r>
        <w:t>Service: Mean 15.37 (Median: 2.0, Max: 2,297)</w:t>
      </w:r>
    </w:p>
    <w:p>
      <w:pPr>
        <w:pStyle w:val="ListBullet"/>
      </w:pPr>
      <w:r>
        <w:t>Foreign: Mean 1.19 (Median: 1.0, Max: 4)</w:t>
      </w:r>
    </w:p>
    <w:p>
      <w:pPr>
        <w:pStyle w:val="Heading2"/>
      </w:pPr>
      <w:r>
        <w:t>5.2 Tender to Contracts (bids to contracts)</w:t>
      </w:r>
    </w:p>
    <w:p>
      <w:pPr>
        <w:pStyle w:val="ListBullet"/>
      </w:pPr>
      <w:r>
        <w:t>Total August contracts: 115,945 rows</w:t>
      </w:r>
    </w:p>
    <w:p>
      <w:pPr>
        <w:pStyle w:val="ListBullet"/>
      </w:pPr>
      <w:r>
        <w:t>Contracts with Notice ID: 40,677 rows (35.08%)</w:t>
      </w:r>
    </w:p>
    <w:p>
      <w:pPr>
        <w:pStyle w:val="ListBullet"/>
      </w:pPr>
      <w:r>
        <w:t>Contracts without Notice ID: 75,268 rows (64.92%)</w:t>
      </w:r>
    </w:p>
    <w:p>
      <w:pPr>
        <w:pStyle w:val="ListBullet"/>
      </w:pPr>
      <w:r>
        <w:t>Nuanced Breakdown of Unlinked Contracts:</w:t>
      </w:r>
    </w:p>
    <w:p>
      <w:pPr>
        <w:pStyle w:val="ListBullet"/>
      </w:pPr>
      <w:r>
        <w:t>Private Contracts (contract_method == '수의계약'): 72,418 rows (96.21%) — Direct/sole-source procurement without electronic public notice.</w:t>
      </w:r>
    </w:p>
    <w:p>
      <w:pPr>
        <w:pStyle w:val="ListBullet"/>
      </w:pPr>
      <w:r>
        <w:t>Off-Notice Competitive Contracts: 2,850 rows (3.79%) — Competitive bids conducted externally with only contract execution filed on KONEPS.</w:t>
      </w:r>
    </w:p>
    <w:p>
      <w:pPr>
        <w:pStyle w:val="ListBullet"/>
      </w:pPr>
      <w:r>
        <w:t>Tender Contract Frequency:</w:t>
      </w:r>
    </w:p>
    <w:p>
      <w:pPr>
        <w:pStyle w:val="ListBullet"/>
      </w:pPr>
      <w:r>
        <w:t>0 Contracts: 23,996 tenders (concluded later or failed)</w:t>
      </w:r>
    </w:p>
    <w:p>
      <w:pPr>
        <w:pStyle w:val="ListBullet"/>
      </w:pPr>
      <w:r>
        <w:t>1 Contract: 8,691 tenders</w:t>
      </w:r>
    </w:p>
    <w:p>
      <w:pPr>
        <w:pStyle w:val="ListBullet"/>
      </w:pPr>
      <w:r>
        <w:t>2+ Contracts: 208 tenders (split/multi-contract tenders)</w:t>
      </w:r>
    </w:p>
    <w:p>
      <w:pPr>
        <w:pStyle w:val="Heading2"/>
      </w:pPr>
      <w:r>
        <w:t>5.3 Contract Key Integrity</w:t>
      </w:r>
    </w:p>
    <w:p>
      <w:pPr>
        <w:pStyle w:val="ListBullet"/>
      </w:pPr>
      <w:r>
        <w:t>unified_contract_no: 115,945 rows 100.0% strictly unique (0 nulls, 0 duplicates).</w:t>
      </w:r>
    </w:p>
    <w:p>
      <w:pPr>
        <w:pStyle w:val="Heading2"/>
      </w:pPr>
      <w:r>
        <w:t>5.4 Supplier &amp; Agency Dimensions</w:t>
      </w:r>
    </w:p>
    <w:p>
      <w:pPr>
        <w:pStyle w:val="ListBullet"/>
      </w:pPr>
      <w:r>
        <w:t>Suppliers: 143,842 unique 10-digit enterprises (123,777 bidders, 13,376 winners, 59,233 contractors). Winner-to-contract match rate: 85.0% (11,370 matching enterprises).</w:t>
      </w:r>
    </w:p>
    <w:p>
      <w:pPr>
        <w:pStyle w:val="ListBullet"/>
      </w:pPr>
      <w:r>
        <w:t>Agencies: 14,091 unique public bodies identified across all feeds.</w:t>
      </w:r>
    </w:p>
    <w:p>
      <w:pPr>
        <w:pStyle w:val="Heading1"/>
      </w:pPr>
      <w:r>
        <w:t>6. Pagination Integrity Audit</w:t>
      </w:r>
    </w:p>
    <w:p>
      <w:pPr>
        <w:pStyle w:val="ListNumber"/>
      </w:pPr>
      <w:r>
        <w:t>Retroactively Verified:</w:t>
      </w:r>
    </w:p>
    <w:p>
      <w:pPr>
        <w:pStyle w:val="ListBullet"/>
      </w:pPr>
      <w:r>
        <w:t>Consecutive identical raw lines: 7,901 (unbid/failed tender notices across daily boundaries).</w:t>
      </w:r>
    </w:p>
    <w:p>
      <w:pPr>
        <w:pStyle w:val="ListBullet"/>
      </w:pPr>
      <w:r>
        <w:t>Adjacent page boundary duplicates: 0 rows.</w:t>
      </w:r>
    </w:p>
    <w:p>
      <w:pPr>
        <w:pStyle w:val="ListBullet"/>
      </w:pPr>
      <w:r>
        <w:t>Raw row counts vs manifest expected: 100.0% match.</w:t>
      </w:r>
    </w:p>
    <w:p>
      <w:pPr>
        <w:pStyle w:val="ListBullet"/>
      </w:pPr>
      <w:r>
        <w:t>Event timestamp chronological monotonicity preserved.</w:t>
      </w:r>
    </w:p>
    <w:p>
      <w:pPr>
        <w:pStyle w:val="ListNumber"/>
      </w:pPr>
      <w:r>
        <w:t>Not Retroactively Verifiable:</w:t>
      </w:r>
    </w:p>
    <w:p>
      <w:pPr>
        <w:pStyle w:val="ListBullet"/>
      </w:pPr>
      <w:r>
        <w:t>Per-page SHA-256 fingerprints (not recorded in raw stream).</w:t>
      </w:r>
    </w:p>
    <w:p>
      <w:pPr>
        <w:pStyle w:val="ListBullet"/>
      </w:pPr>
      <w:r>
        <w:t>API header totalCount midstream drift (not captured per row).</w:t>
      </w:r>
    </w:p>
    <w:p>
      <w:pPr>
        <w:pStyle w:val="ListNumber"/>
      </w:pPr>
      <w:r>
        <w:t>Observability Enhancements:</w:t>
      </w:r>
    </w:p>
    <w:p>
      <w:pPr>
        <w:pStyle w:val="ListBullet"/>
      </w:pPr>
      <w:r>
        <w:t>Future collection passes will incorporate page hooks capturing page number, reported count, and boundary fingerprints.</w:t>
      </w:r>
    </w:p>
    <w:p>
      <w:pPr>
        <w:pStyle w:val="Heading1"/>
      </w:pPr>
      <w:r>
        <w:t>7. Storage Footprint</w:t>
      </w:r>
    </w:p>
    <w:p>
      <w:pPr>
        <w:pStyle w:val="ListBullet"/>
      </w:pPr>
      <w:r>
        <w:t>Raw Gzip Storage (data/raw/*.jsonl.gz): 125.24 MB (131,322,271 bytes)</w:t>
      </w:r>
    </w:p>
    <w:p>
      <w:pPr>
        <w:pStyle w:val="ListBullet"/>
      </w:pPr>
      <w:r>
        <w:t>Processed Parquet (data/processed/*.parquet): 141.29 MB (148,156,166 bytes)</w:t>
      </w:r>
    </w:p>
    <w:p>
      <w:pPr>
        <w:pStyle w:val="ListBullet"/>
      </w:pPr>
      <w:r>
        <w:t>Compression Efficiency: ~20:1 compression ratio relative to uncompressed JSON (~2.8 GB).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