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South Korea Public Procurement Relational Model Specification</w:t>
      </w:r>
    </w:p>
    <w:p>
      <w:r>
        <w:t>한국어 | English</w:t>
      </w:r>
    </w:p>
    <w:p>
      <w:r>
        <w:t>This document establishes the official relational schema architecture for KONEPS (Korea ON-line E-Procurement System) public procurement data, derived empirically from live API feeds (bids, awards, contracts).</w:t>
      </w:r>
    </w:p>
    <w:p>
      <w:pPr>
        <w:pStyle w:val="Heading1"/>
      </w:pPr>
      <w:r>
        <w:t>1. Background &amp; Core Architectural Principles</w:t>
      </w:r>
    </w:p>
    <w:p>
      <w:r>
        <w:t>Empirical analysis from the August 2026 pilot dataset (~2.26 million raw records) established several fundamental structural characteristics:</w:t>
      </w:r>
    </w:p>
    <w:p>
      <w:pPr>
        <w:pStyle w:val="ListNumber"/>
      </w:pPr>
      <w:r>
        <w:t>Extreme 1:N Tender-to-Bidder Submissions: A single tender announcement attracts dozens to thousands of competing suppliers (average 240.9 bidders in construction; maximum 9,675 bidders for a single tender). The awards API feed (getDataSetOpnStdScsbidInfo) directly captures individual bidder submissions.</w:t>
      </w:r>
    </w:p>
    <w:p>
      <w:pPr>
        <w:pStyle w:val="ListNumber"/>
      </w:pPr>
      <w:r>
        <w:t>Multi-Lot &amp; Multi-Winner Reality: Procurement tenders frequently split across multiple lots, classifications, or joint arrangements (40 tenders in August had 2+ winning bidders). The awards feed cannot be coerced into a simplistic 1:1 table without loss of information.</w:t>
      </w:r>
    </w:p>
    <w:p>
      <w:pPr>
        <w:pStyle w:val="ListNumber"/>
      </w:pPr>
      <w:r>
        <w:t>Tender-to-Contract Asymmetry: Only 35.08% of contracts link directly to a tender announcement identifier. The remaining 64.92% are predominantly private/direct contracts (96.21%) and off-notice competitive contracts (3.79%).</w:t>
      </w:r>
    </w:p>
    <w:p>
      <w:pPr>
        <w:pStyle w:val="ListNumber"/>
      </w:pPr>
      <w:r>
        <w:t>Fan-Out Prevention Policy: Flattening all feeds into a monolithic master table results in catastrophic row duplication and severe analytical distortion. We implement a clean star/snowflake relational model connected via an explicit bridge table.</w:t>
      </w:r>
    </w:p>
    <w:p>
      <w:pPr>
        <w:pStyle w:val="Heading1"/>
      </w:pPr>
      <w:r>
        <w:t>2. Conceptual Entity Relationship Diagram (Mermaid)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erDiagram</w:t>
        <w:br/>
        <w:t xml:space="preserve">    tenders ||--o{ bidder_submissions : "1 : N (Tender Bids)"</w:t>
        <w:br/>
        <w:t xml:space="preserve">    tenders ||--o{ award_outcomes : "1 : 0..N (Award Decisions)"</w:t>
        <w:br/>
        <w:t xml:space="preserve">    tenders ||--o{ tender_contract_bridge : "1 : 0..N (Notice-Contract Link)"</w:t>
        <w:br/>
        <w:t xml:space="preserve">    contracts ||--o{ tender_contract_bridge : "1 : 1 (Contract Mapping)"</w:t>
        <w:br/>
        <w:br/>
        <w:t xml:space="preserve">    suppliers ||--o{ bidder_submissions : "1 : N (Bidding Firm)"</w:t>
        <w:br/>
        <w:t xml:space="preserve">    suppliers ||--o{ award_outcomes : "1 : N (Winning Firm)"</w:t>
        <w:br/>
        <w:t xml:space="preserve">    suppliers ||--o{ contracts : "1 : N (Contracting Firm)"</w:t>
        <w:br/>
        <w:br/>
        <w:t xml:space="preserve">    agencies ||--o{ tenders : "1 : N (Procuring/Demanding Agency)"</w:t>
        <w:br/>
        <w:t xml:space="preserve">    agencies ||--o{ contracts : "1 : N (Contracting/Demanding Agency)"</w:t>
        <w:br/>
        <w:br/>
        <w:t xml:space="preserve">    tenders {</w:t>
        <w:br/>
        <w:t xml:space="preserve">        string bid_notice_no PK</w:t>
        <w:br/>
        <w:t xml:space="preserve">        string bid_notice_round PK</w:t>
        <w:br/>
        <w:t xml:space="preserve">        string bid_title_ko</w:t>
        <w:br/>
        <w:t xml:space="preserve">        string notice_agency_code FK</w:t>
        <w:br/>
        <w:t xml:space="preserve">        string demand_agency_code FK</w:t>
        <w:br/>
        <w:t xml:space="preserve">        timestamp bid_notice_date</w:t>
        <w:br/>
        <w:t xml:space="preserve">        int64 assigned_budget_krw</w:t>
        <w:br/>
        <w:t xml:space="preserve">        int64 estimated_price_krw</w:t>
        <w:br/>
        <w:t xml:space="preserve">        string contract_method_ko</w:t>
        <w:br/>
        <w:t xml:space="preserve">    }</w:t>
        <w:br/>
        <w:br/>
        <w:t xml:space="preserve">    bidder_submissions {</w:t>
        <w:br/>
        <w:t xml:space="preserve">        string bid_notice_no PK, FK</w:t>
        <w:br/>
        <w:t xml:space="preserve">        string bid_notice_round PK, FK</w:t>
        <w:br/>
        <w:t xml:space="preserve">        string bidder_supplier_id PK, FK</w:t>
        <w:br/>
        <w:t xml:space="preserve">        double bid_amount_krw PK</w:t>
        <w:br/>
        <w:t xml:space="preserve">        string bid_submission_time PK</w:t>
        <w:br/>
        <w:t xml:space="preserve">        double opening_rank PK</w:t>
        <w:br/>
        <w:t xml:space="preserve">        double bid_rate</w:t>
        <w:br/>
        <w:t xml:space="preserve">        timestamp bid_submission_date</w:t>
        <w:br/>
        <w:t xml:space="preserve">        boolean is_selected_winner</w:t>
        <w:br/>
        <w:t xml:space="preserve">        string disqualification_reason_ko</w:t>
        <w:br/>
        <w:t xml:space="preserve">    }</w:t>
        <w:br/>
        <w:br/>
        <w:t xml:space="preserve">    award_outcomes {</w:t>
        <w:br/>
        <w:t xml:space="preserve">        string bid_notice_no PK, FK</w:t>
        <w:br/>
        <w:t xml:space="preserve">        string bid_notice_round PK, FK</w:t>
        <w:br/>
        <w:t xml:space="preserve">        string winner_supplier_id PK, FK</w:t>
        <w:br/>
        <w:t xml:space="preserve">        double award_amount_krw PK</w:t>
        <w:br/>
        <w:t xml:space="preserve">        timestamp award_date PK</w:t>
        <w:br/>
        <w:t xml:space="preserve">        double award_rate</w:t>
        <w:br/>
        <w:t xml:space="preserve">        double scheduled_price_krw</w:t>
        <w:br/>
        <w:t xml:space="preserve">        double base_amount_krw</w:t>
        <w:br/>
        <w:t xml:space="preserve">    }</w:t>
        <w:br/>
        <w:br/>
        <w:t xml:space="preserve">    contracts {</w:t>
        <w:br/>
        <w:t xml:space="preserve">        string unified_contract_no PK</w:t>
        <w:br/>
        <w:t xml:space="preserve">        string contract_no</w:t>
        <w:br/>
        <w:t xml:space="preserve">        string contract_round</w:t>
        <w:br/>
        <w:t xml:space="preserve">        string contract_title_ko</w:t>
        <w:br/>
        <w:t xml:space="preserve">        string contract_agency_code FK</w:t>
        <w:br/>
        <w:t xml:space="preserve">        string demand_agency_code FK</w:t>
        <w:br/>
        <w:t xml:space="preserve">        string contractor_supplier_id FK</w:t>
        <w:br/>
        <w:t xml:space="preserve">        timestamp contract_date</w:t>
        <w:br/>
        <w:t xml:space="preserve">        int64 contract_amount_krw</w:t>
        <w:br/>
        <w:t xml:space="preserve">        string contract_method_ko</w:t>
        <w:br/>
        <w:t xml:space="preserve">    }</w:t>
        <w:br/>
        <w:br/>
        <w:t xml:space="preserve">    tender_contract_bridge {</w:t>
        <w:br/>
        <w:t xml:space="preserve">        string unified_contract_no PK, FK</w:t>
        <w:br/>
        <w:t xml:space="preserve">        string bid_notice_no FK</w:t>
        <w:br/>
        <w:t xml:space="preserve">        string bid_notice_round FK</w:t>
        <w:br/>
        <w:t xml:space="preserve">        string match_type</w:t>
        <w:br/>
        <w:t xml:space="preserve">    }</w:t>
        <w:br/>
        <w:br/>
        <w:t xml:space="preserve">    suppliers {</w:t>
        <w:br/>
        <w:t xml:space="preserve">        string supplier_id PK</w:t>
        <w:br/>
        <w:t xml:space="preserve">        string business_reg_no_masked</w:t>
        <w:br/>
        <w:t xml:space="preserve">        string supplier_name_ko</w:t>
        <w:br/>
        <w:t xml:space="preserve">        string ceo_name</w:t>
        <w:br/>
        <w:t xml:space="preserve">        string sigungu_ko</w:t>
        <w:br/>
        <w:t xml:space="preserve">    }</w:t>
        <w:br/>
        <w:br/>
        <w:t xml:space="preserve">    agencies {</w:t>
        <w:br/>
        <w:t xml:space="preserve">        string agency_code PK</w:t>
        <w:br/>
        <w:t xml:space="preserve">        string agency_name_ko</w:t>
        <w:br/>
        <w:t xml:space="preserve">        string agency_category</w:t>
        <w:br/>
        <w:t xml:space="preserve">    }</w:t>
      </w:r>
    </w:p>
    <w:p>
      <w:pPr>
        <w:pStyle w:val="Heading1"/>
      </w:pPr>
      <w:r>
        <w:t>3. Detailed Entities &amp; Grain Specifications</w:t>
      </w:r>
    </w:p>
    <w:p>
      <w:pPr>
        <w:pStyle w:val="Heading2"/>
      </w:pPr>
      <w:r>
        <w:t>3.1 tenders (Tender Announcement Master)</w:t>
      </w:r>
    </w:p>
    <w:p>
      <w:pPr>
        <w:pStyle w:val="ListBullet"/>
      </w:pPr>
      <w:r>
        <w:t>Concept: A distinct procurement tender published by a public entity on KONEPS.</w:t>
      </w:r>
    </w:p>
    <w:p>
      <w:pPr>
        <w:pStyle w:val="ListBullet"/>
      </w:pPr>
      <w:r>
        <w:t>Intended Grain: One tender notice and round (1 row per tender).</w:t>
      </w:r>
    </w:p>
    <w:p>
      <w:pPr>
        <w:pStyle w:val="ListBullet"/>
      </w:pPr>
      <w:r>
        <w:t>Primary Key: (bid_notice_no, bid_notice_round)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notice_agency_code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Verification: LIVE VERIFIED (100% unique across all 32,895 rows in August 2026).</w:t>
      </w:r>
    </w:p>
    <w:p>
      <w:pPr>
        <w:pStyle w:val="ListBullet"/>
      </w:pPr>
      <w:r>
        <w:t>Source Feed: bids (getDataSetOpnStdBidPblancInfo).</w:t>
      </w:r>
    </w:p>
    <w:p>
      <w:pPr>
        <w:pStyle w:val="Heading2"/>
      </w:pPr>
      <w:r>
        <w:t>3.2 bidder_submissions (Individual Bidder Submissions)</w:t>
      </w:r>
    </w:p>
    <w:p>
      <w:pPr>
        <w:pStyle w:val="ListBullet"/>
      </w:pPr>
      <w:r>
        <w:t>Concept: A discrete bid submitted by an enterprise for a specific tender.</w:t>
      </w:r>
    </w:p>
    <w:p>
      <w:pPr>
        <w:pStyle w:val="ListBullet"/>
      </w:pPr>
      <w:r>
        <w:t>Intended Grain: One submission per bidder per tender item/schedule.</w:t>
      </w:r>
    </w:p>
    <w:p>
      <w:pPr>
        <w:pStyle w:val="ListBullet"/>
      </w:pPr>
      <w:r>
        <w:t>Primary Key: (bid_notice_no, bid_notice_round, bidder_supplier_id, bid_amount_krw, bid_submission_time, opening_rank)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(bid_notice_no, bid_notice_round) → tenders (Nullable: False)</w:t>
      </w:r>
    </w:p>
    <w:p>
      <w:pPr>
        <w:pStyle w:val="ListBullet"/>
      </w:pPr>
      <w:r>
        <w:t>bidder_supplier_id → suppliers.supplier_id (Nullable: False)</w:t>
      </w:r>
    </w:p>
    <w:p>
      <w:pPr>
        <w:pStyle w:val="ListBullet"/>
      </w:pPr>
      <w:r>
        <w:t>Cardinality: tenders (1) : bidder_submissions (N) (Range: 1 to 9,675 bids per tender, mean: 84.4).</w:t>
      </w:r>
    </w:p>
    <w:p>
      <w:pPr>
        <w:pStyle w:val="ListBullet"/>
      </w:pPr>
      <w:r>
        <w:t>Verification: LIVE VERIFIED (2,107,948 normalized rows in August 2026; lossless grain verified).</w:t>
      </w:r>
    </w:p>
    <w:p>
      <w:pPr>
        <w:pStyle w:val="ListBullet"/>
      </w:pPr>
      <w:r>
        <w:t>Source Feed: awards (getDataSetOpnStdScsbidInfo).</w:t>
      </w:r>
    </w:p>
    <w:p>
      <w:pPr>
        <w:pStyle w:val="Heading2"/>
      </w:pPr>
      <w:r>
        <w:t>3.3 award_outcomes (Final Opening &amp; Award Decisions)</w:t>
      </w:r>
    </w:p>
    <w:p>
      <w:pPr>
        <w:pStyle w:val="ListBullet"/>
      </w:pPr>
      <w:r>
        <w:t>Concept: The final adjudicated outcome indicating winning suppliers, prices, and rates.</w:t>
      </w:r>
    </w:p>
    <w:p>
      <w:pPr>
        <w:pStyle w:val="ListBullet"/>
      </w:pPr>
      <w:r>
        <w:t>Intended Grain: One award decision per lot/winner in a tender.</w:t>
      </w:r>
    </w:p>
    <w:p>
      <w:pPr>
        <w:pStyle w:val="ListBullet"/>
      </w:pPr>
      <w:r>
        <w:t>Primary Key: (bid_notice_no, bid_notice_round, winner_supplier_id, award_amount_krw, award_date)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(bid_notice_no, bid_notice_round) → tenders</w:t>
      </w:r>
    </w:p>
    <w:p>
      <w:pPr>
        <w:pStyle w:val="ListBullet"/>
      </w:pPr>
      <w:r>
        <w:t>winner_supplier_id → suppliers.supplier_id</w:t>
      </w:r>
    </w:p>
    <w:p>
      <w:pPr>
        <w:pStyle w:val="ListBullet"/>
      </w:pPr>
      <w:r>
        <w:t>Cardinality: tenders (1) : award_outcomes (0..N)</w:t>
      </w:r>
    </w:p>
    <w:p>
      <w:pPr>
        <w:pStyle w:val="ListBullet"/>
      </w:pPr>
      <w:r>
        <w:t>0 Winners: 8,197 tenders (32.82% - failed bids or pending review)</w:t>
      </w:r>
    </w:p>
    <w:p>
      <w:pPr>
        <w:pStyle w:val="ListBullet"/>
      </w:pPr>
      <w:r>
        <w:t>1 Winner: 16,741 tenders (67.02% - standard single-winner award)</w:t>
      </w:r>
    </w:p>
    <w:p>
      <w:pPr>
        <w:pStyle w:val="ListBullet"/>
      </w:pPr>
      <w:r>
        <w:t>2+ Winners: 40 tenders (0.16% - multi-item/lot allocations or joint awards)</w:t>
      </w:r>
    </w:p>
    <w:p>
      <w:pPr>
        <w:pStyle w:val="ListBullet"/>
      </w:pPr>
      <w:r>
        <w:t>Verification: LIVE VERIFIED</w:t>
      </w:r>
    </w:p>
    <w:p>
      <w:pPr>
        <w:pStyle w:val="ListBullet"/>
      </w:pPr>
      <w:r>
        <w:t>Source Feed: awards rows with is_selected_winner == True and populated final award amounts.</w:t>
      </w:r>
    </w:p>
    <w:p>
      <w:pPr>
        <w:pStyle w:val="Heading2"/>
      </w:pPr>
      <w:r>
        <w:t>3.4 contracts (Executed Public Contracts)</w:t>
      </w:r>
    </w:p>
    <w:p>
      <w:pPr>
        <w:pStyle w:val="ListBullet"/>
      </w:pPr>
      <w:r>
        <w:t>Concept: Legally executed contracts between public agencies and suppliers.</w:t>
      </w:r>
    </w:p>
    <w:p>
      <w:pPr>
        <w:pStyle w:val="ListBullet"/>
      </w:pPr>
      <w:r>
        <w:t>Intended Grain: One national unified contract.</w:t>
      </w:r>
    </w:p>
    <w:p>
      <w:pPr>
        <w:pStyle w:val="ListBullet"/>
      </w:pPr>
      <w:r>
        <w:t>Primary Key: unified_contract_no (untyCntrctNo)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contract_agency_code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contractor_supplier_id → suppliers.supplier_id</w:t>
      </w:r>
    </w:p>
    <w:p>
      <w:pPr>
        <w:pStyle w:val="ListBullet"/>
      </w:pPr>
      <w:r>
        <w:t>Verification: LIVE VERIFIED (115,945 rows in August 2026; 0.0% null rate, 100.0% strictly unique).</w:t>
      </w:r>
    </w:p>
    <w:p>
      <w:pPr>
        <w:pStyle w:val="ListBullet"/>
      </w:pPr>
      <w:r>
        <w:t>Source Feed: contracts (getDataSetOpnStdCntrctInfo).</w:t>
      </w:r>
    </w:p>
    <w:p>
      <w:pPr>
        <w:pStyle w:val="Heading2"/>
      </w:pPr>
      <w:r>
        <w:t>3.5 tender_contract_bridge (Tender-Contract Relationship Bridge)</w:t>
      </w:r>
    </w:p>
    <w:p>
      <w:pPr>
        <w:pStyle w:val="ListBullet"/>
      </w:pPr>
      <w:r>
        <w:t>Concept: Resolves the non-trivial relationship between tender announcements and contracts.</w:t>
      </w:r>
    </w:p>
    <w:p>
      <w:pPr>
        <w:pStyle w:val="ListBullet"/>
      </w:pPr>
      <w:r>
        <w:t>Intended Grain: One row per contract mapping.</w:t>
      </w:r>
    </w:p>
    <w:p>
      <w:pPr>
        <w:pStyle w:val="ListBullet"/>
      </w:pPr>
      <w:r>
        <w:t>Primary Key: unified_contract_no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unified_contract_no → contracts.unified_contract_no</w:t>
      </w:r>
    </w:p>
    <w:p>
      <w:pPr>
        <w:pStyle w:val="ListBullet"/>
      </w:pPr>
      <w:r>
        <w:t>(bid_notice_no, bid_notice_round) → tenders.(bid_notice_no, bid_notice_round) (Nullable: True)</w:t>
      </w:r>
    </w:p>
    <w:p>
      <w:pPr>
        <w:pStyle w:val="ListBullet"/>
      </w:pPr>
      <w:r>
        <w:t>Empirical Ratios (August 2026):</w:t>
      </w:r>
    </w:p>
    <w:p>
      <w:pPr>
        <w:pStyle w:val="ListBullet"/>
      </w:pPr>
      <w:r>
        <w:t>Contracts linked to tender notice: 35.08% (40,677 rows)</w:t>
      </w:r>
    </w:p>
    <w:p>
      <w:pPr>
        <w:pStyle w:val="ListBullet"/>
      </w:pPr>
      <w:r>
        <w:t>Contracts without tender notice: 64.92% (75,268 rows)</w:t>
      </w:r>
    </w:p>
    <w:p>
      <w:pPr>
        <w:pStyle w:val="ListBullet"/>
      </w:pPr>
      <w:r>
        <w:t>Private contracts (contract_method == '수의계약'): 96.21% (72,418 rows)</w:t>
      </w:r>
    </w:p>
    <w:p>
      <w:pPr>
        <w:pStyle w:val="ListBullet"/>
      </w:pPr>
      <w:r>
        <w:t>Off-notice competitive contracts: 3.79% (2,850 rows)</w:t>
      </w:r>
    </w:p>
    <w:p>
      <w:pPr>
        <w:pStyle w:val="ListBullet"/>
      </w:pPr>
      <w:r>
        <w:t>Design Rationale: Prevents data loss caused by naive inner joins and safely supports multi-contract tenders (208 tenders linked to 2+ contracts).</w:t>
      </w:r>
    </w:p>
    <w:p>
      <w:pPr>
        <w:pStyle w:val="Heading2"/>
      </w:pPr>
      <w:r>
        <w:t>3.6 suppliers (Supplier Dimension Table)</w:t>
      </w:r>
    </w:p>
    <w:p>
      <w:pPr>
        <w:pStyle w:val="ListBullet"/>
      </w:pPr>
      <w:r>
        <w:t>Concept: Unified dimension of all enterprises and sole proprietors participating in procurement.</w:t>
      </w:r>
    </w:p>
    <w:p>
      <w:pPr>
        <w:pStyle w:val="ListBullet"/>
      </w:pPr>
      <w:r>
        <w:t>Primary Key: supplier_id (SHA-256 pseudonymized hash of normalized 10-digit registration number)</w:t>
      </w:r>
    </w:p>
    <w:p>
      <w:pPr>
        <w:pStyle w:val="ListBullet"/>
      </w:pPr>
      <w:r>
        <w:t>Privacy Policy: Raw business registration numbers are never published; public releases include a stable pseudo-ID (supplier_id) and masked string (123-45-*).</w:t>
      </w:r>
    </w:p>
    <w:p>
      <w:pPr>
        <w:pStyle w:val="ListBullet"/>
      </w:pPr>
      <w:r>
        <w:t>Empirical Volume (August 2026):</w:t>
      </w:r>
    </w:p>
    <w:p>
      <w:pPr>
        <w:pStyle w:val="ListBullet"/>
      </w:pPr>
      <w:r>
        <w:t>Distinct Bidders: 123,777</w:t>
      </w:r>
    </w:p>
    <w:p>
      <w:pPr>
        <w:pStyle w:val="ListBullet"/>
      </w:pPr>
      <w:r>
        <w:t>Distinct Winners: 13,376</w:t>
      </w:r>
    </w:p>
    <w:p>
      <w:pPr>
        <w:pStyle w:val="ListBullet"/>
      </w:pPr>
      <w:r>
        <w:t>Distinct Contractors: 59,233</w:t>
      </w:r>
    </w:p>
    <w:p>
      <w:pPr>
        <w:pStyle w:val="ListBullet"/>
      </w:pPr>
      <w:r>
        <w:t>Total Unique Suppliers: 143,842</w:t>
      </w:r>
    </w:p>
    <w:p>
      <w:pPr>
        <w:pStyle w:val="ListBullet"/>
      </w:pPr>
      <w:r>
        <w:t>Winner-to-Contract Match Rate: 85.0% (11,370 overlapping enterprises)</w:t>
      </w:r>
    </w:p>
    <w:p>
      <w:pPr>
        <w:pStyle w:val="Heading2"/>
      </w:pPr>
      <w:r>
        <w:t>3.7 agencies (Procuring &amp; Demanding Agency Dimension)</w:t>
      </w:r>
    </w:p>
    <w:p>
      <w:pPr>
        <w:pStyle w:val="ListBullet"/>
      </w:pPr>
      <w:r>
        <w:t>Concept: Public sector bodies (national ministries, municipal authorities, state-owned corporations).</w:t>
      </w:r>
    </w:p>
    <w:p>
      <w:pPr>
        <w:pStyle w:val="ListBullet"/>
      </w:pPr>
      <w:r>
        <w:t>Primary Key: agency_code (7-digit official administrative code)</w:t>
      </w:r>
    </w:p>
    <w:p>
      <w:pPr>
        <w:pStyle w:val="ListBullet"/>
      </w:pPr>
      <w:r>
        <w:t>Empirical Volume (August 2026): 14,091 unique public agencies identified.</w:t>
      </w:r>
    </w:p>
    <w:p>
      <w:pPr>
        <w:pStyle w:val="Heading1"/>
      </w:pPr>
      <w:r>
        <w:t>4. Reassessment of the Bidder Report Export Role</w:t>
      </w:r>
    </w:p>
    <w:p>
      <w:r>
        <w:t>Because the live OpenAPI feed getDataSetOpnStdScsbidInfo already provides full-fidelity bidder submissions (business registration numbers, bid amounts, bid rates, timestamps, ranks, and disqualification reasons), the role of the portal bidder report export (bidder_outcomes CSV/XLS/XLSX) has been adjusted:</w:t>
      </w:r>
    </w:p>
    <w:p>
      <w:pPr>
        <w:pStyle w:val="ListBullet"/>
      </w:pPr>
      <w:r>
        <w:t>Previous Role: Mandatory core source</w:t>
      </w:r>
    </w:p>
    <w:p>
      <w:pPr>
        <w:pStyle w:val="ListBullet"/>
      </w:pPr>
      <w:r>
        <w:t>New Role: Optional Enrichment &amp; Cross-Validation</w:t>
      </w:r>
    </w:p>
    <w:p>
      <w:pPr>
        <w:pStyle w:val="ListBullet"/>
      </w:pPr>
      <w:r>
        <w:t>Report-Exclusive Fields:</w:t>
      </w:r>
    </w:p>
    <w:p>
      <w:pPr>
        <w:pStyle w:val="ListBullet"/>
      </w:pPr>
      <w:r>
        <w:t>Detailed supplier municipal district (bidder_sigungu_ko)</w:t>
      </w:r>
    </w:p>
    <w:p>
      <w:pPr>
        <w:pStyle w:val="ListBullet"/>
      </w:pPr>
      <w:r>
        <w:t>Corporate scale classification at contract time (SME, micro-enterprise)</w:t>
      </w:r>
    </w:p>
    <w:p>
      <w:pPr>
        <w:pStyle w:val="ListBullet"/>
      </w:pPr>
      <w:r>
        <w:t>Extended multi-year contract subdivision tags</w:t>
      </w:r>
    </w:p>
    <w:p>
      <w:pPr>
        <w:pStyle w:val="ListBullet"/>
      </w:pPr>
      <w:r>
        <w:t>Strategy: Decouples historical bulk crawling from manual portal exports while preserving ingestion compatibility for focused localized analyses.</w:t>
      </w:r>
    </w:p>
    <w:p>
      <w:pPr>
        <w:pStyle w:val="Heading1"/>
      </w:pPr>
      <w:r>
        <w:t>5. Dataset Publication &amp; Format Policy</w:t>
      </w:r>
    </w:p>
    <w:p>
      <w:pPr>
        <w:pStyle w:val="ListNumber"/>
      </w:pPr>
      <w:r>
        <w:t>Canonical Analytical Format:</w:t>
      </w:r>
    </w:p>
    <w:p>
      <w:pPr>
        <w:pStyle w:val="ListBullet"/>
      </w:pPr>
      <w:r>
        <w:t>Partitioned Apache Parquet (Zstandard compression)</w:t>
      </w:r>
    </w:p>
    <w:p>
      <w:pPr>
        <w:pStyle w:val="ListBullet"/>
      </w:pPr>
      <w:r>
        <w:t>Date partitioning: year=YYYY/month=MM/</w:t>
      </w:r>
    </w:p>
    <w:p>
      <w:pPr>
        <w:pStyle w:val="ListBullet"/>
      </w:pPr>
      <w:r>
        <w:t>Strict typing: nullable boolean (boolean dtype), nanosecond timestamps (datetime64[ns]), int64, and float64.</w:t>
      </w:r>
    </w:p>
    <w:p>
      <w:pPr>
        <w:pStyle w:val="ListNumber"/>
      </w:pPr>
      <w:r>
        <w:t>Raw Archival Storage:</w:t>
      </w:r>
    </w:p>
    <w:p>
      <w:pPr>
        <w:pStyle w:val="ListBullet"/>
      </w:pPr>
      <w:r>
        <w:t>Immutable .jsonl.gz with atomic writes and SHA-256 manifests.</w:t>
      </w:r>
    </w:p>
    <w:p>
      <w:pPr>
        <w:pStyle w:val="ListNumber"/>
      </w:pPr>
      <w:r>
        <w:t>Auxiliary Export Formats:</w:t>
      </w:r>
    </w:p>
    <w:p>
      <w:pPr>
        <w:pStyle w:val="ListBullet"/>
      </w:pPr>
      <w:r>
        <w:t>CSV: Summary dimension tables and data dictionaries.</w:t>
      </w:r>
    </w:p>
    <w:p>
      <w:pPr>
        <w:pStyle w:val="ListBullet"/>
      </w:pPr>
      <w:r>
        <w:t>XLSX: Human-readable reports under 100,000 rows.</w:t>
      </w:r>
    </w:p>
    <w:p>
      <w:pPr>
        <w:pStyle w:val="ListBullet"/>
      </w:pPr>
      <w:r>
        <w:t>Constraint: Multi-million-row submission tables are never exported to Excel formats.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