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Dictionary</w:t>
      </w:r>
    </w:p>
    <w:p>
      <w:r>
        <w:t>한국어 | English</w:t>
      </w:r>
    </w:p>
    <w:p>
      <w:r>
        <w:t>This data dictionary outlines the canonical English column schema produced by the normalization pipeline, preserving original Korean names while presenting standard types for downstream analytics and machine learning.</w:t>
      </w:r>
    </w:p>
    <w:p>
      <w:pPr>
        <w:pStyle w:val="Heading1"/>
      </w:pPr>
      <w:r>
        <w:t>1. Tender Notices (bids)</w:t>
      </w:r>
    </w:p>
    <w:p>
      <w:pPr>
        <w:pStyle w:val="ListBullet"/>
      </w:pPr>
      <w:r>
        <w:t>Source API Operation: getDataSetOpnStdBidPblancInfo</w:t>
      </w:r>
    </w:p>
    <w:p>
      <w:pPr>
        <w:pStyle w:val="ListBullet"/>
      </w:pPr>
      <w:r>
        <w:t>Candidate Primary Key: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Unique tender announcement number (e.g.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Announcement revision/round sequence (e.g. 000)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Sub-classification index under multi-item tenders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Re-bidding iteration counter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 of the tender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publishing agency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publishing procuring agency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end-demand agency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end-demand agency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notice was officially published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Time notice was published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window start date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deadline date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budget allocated for procurement (KRW)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(ex-VAT reference price, 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for multi-pricing pools (KRW)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Korean division label (물품, 용역, 공사 등)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 (일반경쟁, 수의계약 등)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status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Decision criteria (적격심사, 소액수의, 최저가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Lower-bound bid rate threshold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venture contracting indicator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Electronic bidding indicator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International tender indicator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Public Procurement Service managed notice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Regional restriction indicator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Industry/license restriction indicator</w:t>
            </w:r>
          </w:p>
        </w:tc>
      </w:tr>
    </w:tbl>
    <w:p/>
    <w:p>
      <w:pPr>
        <w:pStyle w:val="Heading1"/>
      </w:pPr>
      <w:r>
        <w:t>2. Bid Results &amp; Awards (awards)</w:t>
      </w:r>
    </w:p>
    <w:p>
      <w:pPr>
        <w:pStyle w:val="ListBullet"/>
      </w:pPr>
      <w:r>
        <w:t>Source API Operation: getDataSetOpnStdScsbidInfo</w:t>
      </w:r>
    </w:p>
    <w:p>
      <w:pPr>
        <w:pStyle w:val="ListBullet"/>
      </w:pPr>
      <w:r>
        <w:t>Lossless Deduplication Key: ["bidNtceNo", "bidNtceOrd", "bidprcCorpBizrno", "opengRank", "dqlfctnRsn", "bidprcAmt", "bidprcTm"]</w:t>
      </w:r>
    </w:p>
    <w:p>
      <w:pPr>
        <w:pStyle w:val="ListBullet"/>
      </w:pPr>
      <w:r>
        <w:t>Intended Grain: One submission per bidder per tender lot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announcement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revision sequence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division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Winning bidder determination method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identifier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identifier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evaluation rank (1 = closest to threshold)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10-digit business registration number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Bid rate relative to reference price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submission date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 submission time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True if selected as winning bidder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Disqualification reason (e.g.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amount (KRW)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rate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Final award date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winning company name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winner business registration number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(KRW)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scheduled price (KRW)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(KRW)</w:t>
            </w:r>
          </w:p>
        </w:tc>
      </w:tr>
    </w:tbl>
    <w:p/>
    <w:p>
      <w:pPr>
        <w:pStyle w:val="Heading1"/>
      </w:pPr>
      <w:r>
        <w:t>3. Contracts (contracts)</w:t>
      </w:r>
    </w:p>
    <w:p>
      <w:pPr>
        <w:pStyle w:val="ListBullet"/>
      </w:pPr>
      <w:r>
        <w:t>Source API Operation: getDataSetOpnStdCntrctInfo</w:t>
      </w:r>
    </w:p>
    <w:p>
      <w:pPr>
        <w:pStyle w:val="ListBullet"/>
      </w:pPr>
      <w:r>
        <w:t>Candidate Primary Key: unified_contract_no (untyCntrctNo, 100% strictly unique)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National unified contract identifier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Primary agency contract number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modification / round sequence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contract title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contract was concluded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method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Signed contract amount for current installment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Cumulative total contract value (KRW)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code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code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registration number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name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round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duration/period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contracting indicator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Domestic corporation indicator</w:t>
            </w:r>
          </w:p>
        </w:tc>
      </w:tr>
    </w:tbl>
    <w:p/>
    <w:p>
      <w:pPr>
        <w:pStyle w:val="Heading1"/>
      </w:pPr>
      <w:r>
        <w:t>4. Bidder Outcome Report (bidder_outcomes)</w:t>
      </w:r>
    </w:p>
    <w:p>
      <w:pPr>
        <w:pStyle w:val="ListBullet"/>
      </w:pPr>
      <w:r>
        <w:t>Role: Optional enrichment &amp; localized cross-validation source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Column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Procurement channel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category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mechanism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revision round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title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bid rank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Selected as winner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business registration number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rate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Disqualification indicator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Reason stated for disqualification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Municipal district of bidder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Current contract amount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contracted amount (KRW)</w:t>
            </w:r>
          </w:p>
        </w:tc>
      </w:tr>
    </w:tbl>
    <w:p/>
    <w:p>
      <w:pPr>
        <w:pStyle w:val="Heading1"/>
      </w:pPr>
      <w:r>
        <w:t>5. Candidate ML Feature Columns</w:t>
      </w:r>
    </w:p>
    <w:p>
      <w:r>
        <w:t>Features engineered following relational bridge construction:</w:t>
      </w:r>
    </w:p>
    <w:p>
      <w:pPr>
        <w:pStyle w:val="ListBullet"/>
      </w:pPr>
      <w:r>
        <w:t>bidder_count: Total valid bidders per tender notice (competition intensity)</w:t>
      </w:r>
    </w:p>
    <w:p>
      <w:pPr>
        <w:pStyle w:val="ListBullet"/>
      </w:pPr>
      <w:r>
        <w:t>market_hhi: Herfindahl-Hirschman index by industry code and procuring entity</w:t>
      </w:r>
    </w:p>
    <w:p>
      <w:pPr>
        <w:pStyle w:val="ListBullet"/>
      </w:pPr>
      <w:r>
        <w:t>supplier_historical_win_rate: Cumulative time-safe win rate prior to tender date</w:t>
      </w:r>
    </w:p>
    <w:p>
      <w:pPr>
        <w:pStyle w:val="ListBullet"/>
      </w:pPr>
      <w:r>
        <w:t>scheduled_price_ratio: Scheduled price relative to base amount (scheduled_price_krw / base_amount_krw)</w:t>
      </w:r>
    </w:p>
    <w:p>
      <w:pPr>
        <w:pStyle w:val="ListBullet"/>
      </w:pPr>
      <w:r>
        <w:t>bid_price_ratio: Bid amount relative to estimated price (bid_amount_krw / estimated_price_krw)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