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2026년 8월 KONEPS 파일럿 데이터셋 수집 및 정밀 실증 감사 보고서</w:t>
      </w:r>
    </w:p>
    <w:p>
      <w:r>
        <w:t>한국어 | English</w:t>
      </w:r>
    </w:p>
    <w:p>
      <w:r>
        <w:t>본 문서는 대한민국 조달청 나라장터 공공데이터포털 개방표준서비스(PubDataOpnStdService v1.2)를 통해 2026년 8월 1개월분(2026-08-01 ~ 2026-08-31)의 입찰공고(bids), 계약체결(contracts), 개찰결과(awards, 4대 업무구분 전수) 데이터를 수집하고, 단일 진실 공급원(data/processed/audits/pilot_2026_08_metrics.json)을 기반으로 기간 오염을 배제한 정밀 실증 감사를 수행한 공식 기술 보고서입니다.</w:t>
      </w:r>
    </w:p>
    <w:p>
      <w:pPr>
        <w:ind w:left="432"/>
      </w:pPr>
      <w:r>
        <w:rPr>
          <w:i/>
          <w:color w:val="646464"/>
        </w:rPr>
        <w:t>[!NOTE]</w:t>
      </w:r>
    </w:p>
    <w:p>
      <w:pPr>
        <w:ind w:left="432"/>
      </w:pPr>
      <w:r>
        <w:rPr>
          <w:i/>
          <w:color w:val="646464"/>
        </w:rPr>
        <w:t>잠정 통계 오염 정정 안내 (Reconciliation Note):</w:t>
      </w:r>
    </w:p>
    <w:p>
      <w:pPr>
        <w:ind w:left="432"/>
      </w:pPr>
      <w:r>
        <w:rPr>
          <w:i/>
          <w:color w:val="646464"/>
        </w:rPr>
        <w:t>이전 초기 보고서에서 9월 1일 스모크 테스트 데이터가 일부 파케이 파일 디렉토리에 혼재되어 8월 통계에 포함되었던 기간 오염(Period Contamination) 문제를 구조적으로 해결했습니다. 본 보고서는 실제 이벤트 일시(bid_notice_date, opening_date, contract_date) 기준 2026-08-01 ~ 2026-08-31 범위 내에 속하는 순수 8월 레코드만을 엄격히 필터링하여 재산출한 공인 수치입니다.</w:t>
      </w:r>
    </w:p>
    <w:p>
      <w:pPr>
        <w:pStyle w:val="Heading1"/>
      </w:pPr>
      <w:r>
        <w:t>1. 수집 범위 및 분할 전략 (Target Scope &amp; Window Strategy)</w:t>
      </w:r>
    </w:p>
    <w:p>
      <w:pPr>
        <w:pStyle w:val="ListBullet"/>
      </w:pPr>
      <w:r>
        <w:t>대상 기간: 2026년 8월 1일 ~ 2026년 8월 31일 (총 31일)</w:t>
      </w:r>
    </w:p>
    <w:p>
      <w:pPr>
        <w:pStyle w:val="ListBullet"/>
      </w:pPr>
      <w:r>
        <w:t>피드별 수집 윈도우 전략:</w:t>
      </w:r>
    </w:p>
    <w:p>
      <w:pPr>
        <w:pStyle w:val="ListNumber"/>
      </w:pPr>
      <w:r>
        <w:t>bids (getDataSetOpnStdBidPblancInfo): 1개 월간 윈도우 (31일)</w:t>
      </w:r>
    </w:p>
    <w:p>
      <w:pPr>
        <w:pStyle w:val="ListNumber"/>
      </w:pPr>
      <w:r>
        <w:t>contracts (getDataSetOpnStdCntrctInfo): 5개 주간 윈도우 (7일 단위 분할)</w:t>
      </w:r>
    </w:p>
    <w:p>
      <w:pPr>
        <w:pStyle w:val="ListNumber"/>
      </w:pPr>
      <w:r>
        <w:t>awards (getDataSetOpnStdScsbidInfo): 124개 일간 윈도우 (31일 × 4개 업무구분: 물품, 외자, 공사, 용역)</w:t>
      </w:r>
    </w:p>
    <w:p>
      <w:pPr>
        <w:pStyle w:val="ListBullet"/>
      </w:pPr>
      <w:r>
        <w:t>페이징 규격: OpenAPI v1.2 공식 지원 최대치인 pageSize=999 적용</w:t>
      </w:r>
    </w:p>
    <w:p>
      <w:pPr>
        <w:pStyle w:val="Heading1"/>
      </w:pPr>
      <w:r>
        <w:t>2. 수집 규모 및 API 트래픽 (Collection Metrics)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피드 (Feed)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수집 윈도우 수</w:t>
            </w:r>
          </w:p>
        </w:tc>
        <w:tc>
          <w:tcPr>
            <w:tcW w:type="dxa" w:w="1560"/>
          </w:tcPr>
          <w:p>
            <w:r>
              <w:rPr>
                <w:b/>
              </w:rPr>
              <w:t>원천 행 수 (Raw Rows)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API 호출 수</w:t>
            </w:r>
          </w:p>
        </w:tc>
        <w:tc>
          <w:tcPr>
            <w:tcW w:type="dxa" w:w="1560"/>
          </w:tcPr>
          <w:p>
            <w:r>
              <w:rPr>
                <w:b/>
              </w:rPr>
              <w:t>산출물 크기 (Gzip)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1560"/>
          </w:tcPr>
          <w:p>
            <w:r>
              <w:t>bids (입찰공고)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32,895</w:t>
            </w:r>
          </w:p>
        </w:tc>
        <w:tc>
          <w:tcPr>
            <w:tcW w:type="dxa" w:w="1560"/>
          </w:tcPr>
          <w:p>
            <w:r>
              <w:t>33</w:t>
            </w:r>
          </w:p>
        </w:tc>
        <w:tc>
          <w:tcPr>
            <w:tcW w:type="dxa" w:w="1560"/>
          </w:tcPr>
          <w:p>
            <w:r>
              <w:t>3.76 MB</w:t>
            </w:r>
          </w:p>
        </w:tc>
        <w:tc>
          <w:tcPr>
            <w:tcW w:type="dxa" w:w="1560"/>
          </w:tcPr>
          <w:p>
            <w:r>
              <w:t>100% 완료</w:t>
            </w:r>
          </w:p>
        </w:tc>
      </w:tr>
      <w:tr>
        <w:tc>
          <w:tcPr>
            <w:tcW w:type="dxa" w:w="1560"/>
          </w:tcPr>
          <w:p>
            <w:r>
              <w:t>contracts (계약내역)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115,945</w:t>
            </w:r>
          </w:p>
        </w:tc>
        <w:tc>
          <w:tcPr>
            <w:tcW w:type="dxa" w:w="1560"/>
          </w:tcPr>
          <w:p>
            <w:r>
              <w:t>119</w:t>
            </w:r>
          </w:p>
        </w:tc>
        <w:tc>
          <w:tcPr>
            <w:tcW w:type="dxa" w:w="1560"/>
          </w:tcPr>
          <w:p>
            <w:r>
              <w:t>25.34 MB</w:t>
            </w:r>
          </w:p>
        </w:tc>
        <w:tc>
          <w:tcPr>
            <w:tcW w:type="dxa" w:w="1560"/>
          </w:tcPr>
          <w:p>
            <w:r>
              <w:t>100% 완료</w:t>
            </w:r>
          </w:p>
        </w:tc>
      </w:tr>
      <w:tr>
        <w:tc>
          <w:tcPr>
            <w:tcW w:type="dxa" w:w="1560"/>
          </w:tcPr>
          <w:p>
            <w:r>
              <w:t>awards (개찰결과)</w:t>
            </w:r>
          </w:p>
        </w:tc>
        <w:tc>
          <w:tcPr>
            <w:tcW w:type="dxa" w:w="1560"/>
          </w:tcPr>
          <w:p>
            <w:r>
              <w:t>124</w:t>
            </w:r>
          </w:p>
        </w:tc>
        <w:tc>
          <w:tcPr>
            <w:tcW w:type="dxa" w:w="1560"/>
          </w:tcPr>
          <w:p>
            <w:r>
              <w:t>2,120,108</w:t>
            </w:r>
          </w:p>
        </w:tc>
        <w:tc>
          <w:tcPr>
            <w:tcW w:type="dxa" w:w="1560"/>
          </w:tcPr>
          <w:p>
            <w:r>
              <w:t>2,213</w:t>
            </w:r>
          </w:p>
        </w:tc>
        <w:tc>
          <w:tcPr>
            <w:tcW w:type="dxa" w:w="1560"/>
          </w:tcPr>
          <w:p>
            <w:r>
              <w:t>114.82 MB</w:t>
            </w:r>
          </w:p>
        </w:tc>
        <w:tc>
          <w:tcPr>
            <w:tcW w:type="dxa" w:w="1560"/>
          </w:tcPr>
          <w:p>
            <w:r>
              <w:t>100% 완료</w:t>
            </w:r>
          </w:p>
        </w:tc>
      </w:tr>
      <w:tr>
        <w:tc>
          <w:tcPr>
            <w:tcW w:type="dxa" w:w="1560"/>
          </w:tcPr>
          <w:p>
            <w:r>
              <w:t>전체 합계</w:t>
            </w:r>
          </w:p>
        </w:tc>
        <w:tc>
          <w:tcPr>
            <w:tcW w:type="dxa" w:w="1560"/>
          </w:tcPr>
          <w:p>
            <w:r>
              <w:t>130</w:t>
            </w:r>
          </w:p>
        </w:tc>
        <w:tc>
          <w:tcPr>
            <w:tcW w:type="dxa" w:w="1560"/>
          </w:tcPr>
          <w:p>
            <w:r>
              <w:t>2,268,948</w:t>
            </w:r>
          </w:p>
        </w:tc>
        <w:tc>
          <w:tcPr>
            <w:tcW w:type="dxa" w:w="1560"/>
          </w:tcPr>
          <w:p>
            <w:r>
              <w:t>2,365</w:t>
            </w:r>
          </w:p>
        </w:tc>
        <w:tc>
          <w:tcPr>
            <w:tcW w:type="dxa" w:w="1560"/>
          </w:tcPr>
          <w:p>
            <w:r>
              <w:t>~143.92 MB</w:t>
            </w:r>
          </w:p>
        </w:tc>
        <w:tc>
          <w:tcPr>
            <w:tcW w:type="dxa" w:w="1560"/>
          </w:tcPr>
          <w:p>
            <w:r>
              <w:t>전수 성공 (0 Failures)</w:t>
            </w:r>
          </w:p>
        </w:tc>
      </w:tr>
    </w:tbl>
    <w:p/>
    <w:p>
      <w:pPr>
        <w:pStyle w:val="Heading2"/>
      </w:pPr>
      <w:r>
        <w:t>개찰결과 업무구분별 세부 수집량</w:t>
      </w:r>
    </w:p>
    <w:p>
      <w:pPr>
        <w:pStyle w:val="ListBullet"/>
      </w:pPr>
      <w:r>
        <w:t>공사 (construction, 코드 3): 31개 윈도우, 1,646,350행 (77.65%), 1,668회 호출</w:t>
      </w:r>
    </w:p>
    <w:p>
      <w:pPr>
        <w:pStyle w:val="ListBullet"/>
      </w:pPr>
      <w:r>
        <w:t>물품 (goods, 코드 1): 31개 윈도우, 328,201행 (17.79%), 347회 호출</w:t>
      </w:r>
    </w:p>
    <w:p>
      <w:pPr>
        <w:pStyle w:val="ListBullet"/>
      </w:pPr>
      <w:r>
        <w:t>용역 (service, 코드 5): 31개 윈도우, 145,425행 (4.54%), 167회 호출</w:t>
      </w:r>
    </w:p>
    <w:p>
      <w:pPr>
        <w:pStyle w:val="ListBullet"/>
      </w:pPr>
      <w:r>
        <w:t>외자 (foreign, 코드 2): 31개 윈도우, 132행 (0.01%), 31회 호출</w:t>
      </w:r>
    </w:p>
    <w:p>
      <w:pPr>
        <w:ind w:left="432"/>
      </w:pPr>
      <w:r>
        <w:rPr>
          <w:i/>
          <w:color w:val="646464"/>
        </w:rPr>
        <w:t>[!NOTE]</w:t>
      </w:r>
    </w:p>
    <w:p>
      <w:pPr>
        <w:ind w:left="432"/>
      </w:pPr>
      <w:r>
        <w:rPr>
          <w:i/>
          <w:color w:val="646464"/>
        </w:rPr>
        <w:t>API 쿼터 관측 사실:</w:t>
      </w:r>
    </w:p>
    <w:p>
      <w:pPr>
        <w:ind w:left="432"/>
      </w:pPr>
      <w:r>
        <w:rPr>
          <w:i/>
          <w:color w:val="646464"/>
        </w:rPr>
        <w:t>구성된 인증키를 통해 단일 세션에서 총 2,365회의 API 요청을 에러 없이 성공적으로 완주했습니다.</w:t>
      </w:r>
    </w:p>
    <w:p>
      <w:pPr>
        <w:pStyle w:val="Heading1"/>
      </w:pPr>
      <w:r>
        <w:t>3. 무손실 디듀플리케이션 및 그레인 포렌식 감사 (Deduplication Forensics)</w:t>
      </w:r>
    </w:p>
    <w:p>
      <w:pPr>
        <w:pStyle w:val="Heading2"/>
      </w:pPr>
      <w:r>
        <w:t>3.1 후보 키 진화 및 무손실 그레인 확정</w:t>
      </w:r>
    </w:p>
    <w:p>
      <w:r>
        <w:t>초기 5개 컬럼 후보 키 ["bidNtceNo", "bidNtceOrd", "bidprcCorpBizrno", "opengRank", "dqlfctnRsn"] 적용 시 복수 물품(Multi-lot) 분할 발주(예: R26BK01634241)에서 동일 기업이 물품별로 다른 투찰금액을 제출한 1,067건의 정당한 투찰 행위가 축약되는 현상이 발견되었습니다.</w:t>
      </w:r>
    </w:p>
    <w:p>
      <w:r>
        <w:t>이를 방지하기 위해 후보 키를 무손실 규격으로 보정했습니다:</w:t>
      </w:r>
    </w:p>
    <w:p>
      <w:r>
        <w:t>Lossless Grain Key = [\texttt{bidNtceNo, \texttt{bidNtceOrd, \texttt{bidprcCorpBizrno, \texttt{opengRank, \texttt{dqlfctnRsn, \texttt{bidprcAmt, \texttt{bidprcTm]</w:t>
      </w:r>
    </w:p>
    <w:p>
      <w:pPr>
        <w:pStyle w:val="Heading2"/>
      </w:pPr>
      <w:r>
        <w:t>3.2 중복 제거 및 충돌 분류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피드 / 업무구분</w:t>
            </w:r>
          </w:p>
        </w:tc>
        <w:tc>
          <w:tcPr>
            <w:tcW w:type="dxa" w:w="1337"/>
          </w:tcPr>
          <w:p>
            <w:r>
              <w:rPr>
                <w:b/>
              </w:rPr>
              <w:t>원천 행 수 (Raw)</w:t>
            </w:r>
          </w:p>
        </w:tc>
        <w:tc>
          <w:tcPr>
            <w:tcW w:type="dxa" w:w="1337"/>
          </w:tcPr>
          <w:p>
            <w:r>
              <w:rPr>
                <w:b/>
              </w:rPr>
              <w:t>완전 일치 중복 (Exact)</w:t>
            </w:r>
          </w:p>
        </w:tc>
        <w:tc>
          <w:tcPr>
            <w:tcW w:type="dxa" w:w="1337"/>
          </w:tcPr>
          <w:p>
            <w:r>
              <w:rPr>
                <w:b/>
              </w:rPr>
              <w:t>레거시 키 중복</w:t>
            </w:r>
          </w:p>
        </w:tc>
        <w:tc>
          <w:tcPr>
            <w:tcW w:type="dxa" w:w="1337"/>
          </w:tcPr>
          <w:p>
            <w:r>
              <w:rPr>
                <w:b/>
              </w:rPr>
              <w:t>신규 무손실 키 중복</w:t>
            </w:r>
          </w:p>
        </w:tc>
        <w:tc>
          <w:tcPr>
            <w:tcW w:type="dxa" w:w="1337"/>
          </w:tcPr>
          <w:p>
            <w:r>
              <w:rPr>
                <w:b/>
              </w:rPr>
              <w:t>보존된 정규 투찰 건수</w:t>
            </w:r>
          </w:p>
        </w:tc>
        <w:tc>
          <w:tcPr>
            <w:tcW w:type="dxa" w:w="1337"/>
          </w:tcPr>
          <w:p>
            <w:r>
              <w:rPr>
                <w:b/>
              </w:rPr>
              <w:t>최종 Parquet 행 수</w:t>
            </w:r>
          </w:p>
        </w:tc>
      </w:tr>
      <w:tr>
        <w:tc>
          <w:tcPr>
            <w:tcW w:type="dxa" w:w="1337"/>
          </w:tcPr>
          <w:p>
            <w:r>
              <w:t>bids</w:t>
            </w:r>
          </w:p>
        </w:tc>
        <w:tc>
          <w:tcPr>
            <w:tcW w:type="dxa" w:w="1337"/>
          </w:tcPr>
          <w:p>
            <w:r>
              <w:t>32,895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32,895</w:t>
            </w:r>
          </w:p>
        </w:tc>
      </w:tr>
      <w:tr>
        <w:tc>
          <w:tcPr>
            <w:tcW w:type="dxa" w:w="1337"/>
          </w:tcPr>
          <w:p>
            <w:r>
              <w:t>contracts</w:t>
            </w:r>
          </w:p>
        </w:tc>
        <w:tc>
          <w:tcPr>
            <w:tcW w:type="dxa" w:w="1337"/>
          </w:tcPr>
          <w:p>
            <w:r>
              <w:t>115,945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115,945</w:t>
            </w:r>
          </w:p>
        </w:tc>
      </w:tr>
      <w:tr>
        <w:tc>
          <w:tcPr>
            <w:tcW w:type="dxa" w:w="1337"/>
          </w:tcPr>
          <w:p>
            <w:r>
              <w:t>awards_goods</w:t>
            </w:r>
          </w:p>
        </w:tc>
        <w:tc>
          <w:tcPr>
            <w:tcW w:type="dxa" w:w="1337"/>
          </w:tcPr>
          <w:p>
            <w:r>
              <w:t>328,201</w:t>
            </w:r>
          </w:p>
        </w:tc>
        <w:tc>
          <w:tcPr>
            <w:tcW w:type="dxa" w:w="1337"/>
          </w:tcPr>
          <w:p>
            <w:r>
              <w:t>2,540</w:t>
            </w:r>
          </w:p>
        </w:tc>
        <w:tc>
          <w:tcPr>
            <w:tcW w:type="dxa" w:w="1337"/>
          </w:tcPr>
          <w:p>
            <w:r>
              <w:t>4,593</w:t>
            </w:r>
          </w:p>
        </w:tc>
        <w:tc>
          <w:tcPr>
            <w:tcW w:type="dxa" w:w="1337"/>
          </w:tcPr>
          <w:p>
            <w:r>
              <w:t>3,526</w:t>
            </w:r>
          </w:p>
        </w:tc>
        <w:tc>
          <w:tcPr>
            <w:tcW w:type="dxa" w:w="1337"/>
          </w:tcPr>
          <w:p>
            <w:r>
              <w:t>+1,067</w:t>
            </w:r>
          </w:p>
        </w:tc>
        <w:tc>
          <w:tcPr>
            <w:tcW w:type="dxa" w:w="1337"/>
          </w:tcPr>
          <w:p>
            <w:r>
              <w:t>324,675</w:t>
            </w:r>
          </w:p>
        </w:tc>
      </w:tr>
      <w:tr>
        <w:tc>
          <w:tcPr>
            <w:tcW w:type="dxa" w:w="1337"/>
          </w:tcPr>
          <w:p>
            <w:r>
              <w:t>awards_foreign</w:t>
            </w:r>
          </w:p>
        </w:tc>
        <w:tc>
          <w:tcPr>
            <w:tcW w:type="dxa" w:w="1337"/>
          </w:tcPr>
          <w:p>
            <w:r>
              <w:t>132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123</w:t>
            </w:r>
          </w:p>
        </w:tc>
      </w:tr>
      <w:tr>
        <w:tc>
          <w:tcPr>
            <w:tcW w:type="dxa" w:w="1337"/>
          </w:tcPr>
          <w:p>
            <w:r>
              <w:t>awards_construction</w:t>
            </w:r>
          </w:p>
        </w:tc>
        <w:tc>
          <w:tcPr>
            <w:tcW w:type="dxa" w:w="1337"/>
          </w:tcPr>
          <w:p>
            <w:r>
              <w:t>1,646,350</w:t>
            </w:r>
          </w:p>
        </w:tc>
        <w:tc>
          <w:tcPr>
            <w:tcW w:type="dxa" w:w="1337"/>
          </w:tcPr>
          <w:p>
            <w:r>
              <w:t>6,050</w:t>
            </w:r>
          </w:p>
        </w:tc>
        <w:tc>
          <w:tcPr>
            <w:tcW w:type="dxa" w:w="1337"/>
          </w:tcPr>
          <w:p>
            <w:r>
              <w:t>6,074</w:t>
            </w:r>
          </w:p>
        </w:tc>
        <w:tc>
          <w:tcPr>
            <w:tcW w:type="dxa" w:w="1337"/>
          </w:tcPr>
          <w:p>
            <w:r>
              <w:t>6,074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1,640,276</w:t>
            </w:r>
          </w:p>
        </w:tc>
      </w:tr>
      <w:tr>
        <w:tc>
          <w:tcPr>
            <w:tcW w:type="dxa" w:w="1337"/>
          </w:tcPr>
          <w:p>
            <w:r>
              <w:t>awards_service</w:t>
            </w:r>
          </w:p>
        </w:tc>
        <w:tc>
          <w:tcPr>
            <w:tcW w:type="dxa" w:w="1337"/>
          </w:tcPr>
          <w:p>
            <w:r>
              <w:t>145,425</w:t>
            </w:r>
          </w:p>
        </w:tc>
        <w:tc>
          <w:tcPr>
            <w:tcW w:type="dxa" w:w="1337"/>
          </w:tcPr>
          <w:p>
            <w:r>
              <w:t>2,490</w:t>
            </w:r>
          </w:p>
        </w:tc>
        <w:tc>
          <w:tcPr>
            <w:tcW w:type="dxa" w:w="1337"/>
          </w:tcPr>
          <w:p>
            <w:r>
              <w:t>2,551</w:t>
            </w:r>
          </w:p>
        </w:tc>
        <w:tc>
          <w:tcPr>
            <w:tcW w:type="dxa" w:w="1337"/>
          </w:tcPr>
          <w:p>
            <w:r>
              <w:t>2,551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142,874</w:t>
            </w:r>
          </w:p>
        </w:tc>
      </w:tr>
      <w:tr>
        <w:tc>
          <w:tcPr>
            <w:tcW w:type="dxa" w:w="1337"/>
          </w:tcPr>
          <w:p>
            <w:r>
              <w:t>awards 소계</w:t>
            </w:r>
          </w:p>
        </w:tc>
        <w:tc>
          <w:tcPr>
            <w:tcW w:type="dxa" w:w="1337"/>
          </w:tcPr>
          <w:p>
            <w:r>
              <w:t>2,120,108</w:t>
            </w:r>
          </w:p>
        </w:tc>
        <w:tc>
          <w:tcPr>
            <w:tcW w:type="dxa" w:w="1337"/>
          </w:tcPr>
          <w:p>
            <w:r>
              <w:t>11,089</w:t>
            </w:r>
          </w:p>
        </w:tc>
        <w:tc>
          <w:tcPr>
            <w:tcW w:type="dxa" w:w="1337"/>
          </w:tcPr>
          <w:p>
            <w:r>
              <w:t>13,227</w:t>
            </w:r>
          </w:p>
        </w:tc>
        <w:tc>
          <w:tcPr>
            <w:tcW w:type="dxa" w:w="1337"/>
          </w:tcPr>
          <w:p>
            <w:r>
              <w:t>12,160</w:t>
            </w:r>
          </w:p>
        </w:tc>
        <w:tc>
          <w:tcPr>
            <w:tcW w:type="dxa" w:w="1337"/>
          </w:tcPr>
          <w:p>
            <w:r>
              <w:t>+1,067</w:t>
            </w:r>
          </w:p>
        </w:tc>
        <w:tc>
          <w:tcPr>
            <w:tcW w:type="dxa" w:w="1337"/>
          </w:tcPr>
          <w:p>
            <w:r>
              <w:t>2,107,948</w:t>
            </w:r>
          </w:p>
        </w:tc>
      </w:tr>
      <w:tr>
        <w:tc>
          <w:tcPr>
            <w:tcW w:type="dxa" w:w="1337"/>
          </w:tcPr>
          <w:p>
            <w:r>
              <w:t>전체 합계</w:t>
            </w:r>
          </w:p>
        </w:tc>
        <w:tc>
          <w:tcPr>
            <w:tcW w:type="dxa" w:w="1337"/>
          </w:tcPr>
          <w:p>
            <w:r>
              <w:t>2,268,948</w:t>
            </w:r>
          </w:p>
        </w:tc>
        <w:tc>
          <w:tcPr>
            <w:tcW w:type="dxa" w:w="1337"/>
          </w:tcPr>
          <w:p>
            <w:r>
              <w:t>11,089</w:t>
            </w:r>
          </w:p>
        </w:tc>
        <w:tc>
          <w:tcPr>
            <w:tcW w:type="dxa" w:w="1337"/>
          </w:tcPr>
          <w:p>
            <w:r>
              <w:t>13,227</w:t>
            </w:r>
          </w:p>
        </w:tc>
        <w:tc>
          <w:tcPr>
            <w:tcW w:type="dxa" w:w="1337"/>
          </w:tcPr>
          <w:p>
            <w:r>
              <w:t>12,160</w:t>
            </w:r>
          </w:p>
        </w:tc>
        <w:tc>
          <w:tcPr>
            <w:tcW w:type="dxa" w:w="1337"/>
          </w:tcPr>
          <w:p>
            <w:r>
              <w:t>+1,067</w:t>
            </w:r>
          </w:p>
        </w:tc>
        <w:tc>
          <w:tcPr>
            <w:tcW w:type="dxa" w:w="1337"/>
          </w:tcPr>
          <w:p>
            <w:r>
              <w:t>2,256,788</w:t>
            </w:r>
          </w:p>
        </w:tc>
      </w:tr>
    </w:tbl>
    <w:p/>
    <w:p>
      <w:pPr>
        <w:pStyle w:val="Heading2"/>
      </w:pPr>
      <w:r>
        <w:t>3.3 비완전 일치 충돌(Non-Exact Collisions) 분류 상세</w:t>
      </w:r>
    </w:p>
    <w:p>
      <w:r>
        <w:t>신규 무손실 키 기준 비완전 일치 충돌 1,071건 전수 포렌식 분류 결과 (docs/metrics/pilot_2026_08.json 기준):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분류</w:t>
            </w:r>
          </w:p>
        </w:tc>
        <w:tc>
          <w:tcPr>
            <w:tcW w:type="dxa" w:w="3120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120"/>
          </w:tcPr>
          <w:p>
            <w:r>
              <w:t>AWARD_BACKFILL</w:t>
            </w:r>
          </w:p>
        </w:tc>
        <w:tc>
          <w:tcPr>
            <w:tcW w:type="dxa" w:w="3120"/>
          </w:tcPr>
          <w:p>
            <w:r>
              <w:t>876건</w:t>
            </w:r>
          </w:p>
        </w:tc>
        <w:tc>
          <w:tcPr>
            <w:tcW w:type="dxa" w:w="3120"/>
          </w:tcPr>
          <w:p>
            <w:r>
              <w:t>낙찰자 정보(fnlSucsfCorpNm, fnlSucsfCorpBizrno, fnlSucsfAmt 등) 개찰 후 사후 백필</w:t>
            </w:r>
          </w:p>
        </w:tc>
      </w:tr>
      <w:tr>
        <w:tc>
          <w:tcPr>
            <w:tcW w:type="dxa" w:w="3120"/>
          </w:tcPr>
          <w:p>
            <w:r>
              <w:t>SAME_SUBMISSION_STATUS_UPDATE</w:t>
            </w:r>
          </w:p>
        </w:tc>
        <w:tc>
          <w:tcPr>
            <w:tcW w:type="dxa" w:w="3120"/>
          </w:tcPr>
          <w:p>
            <w:r>
              <w:t>127건</w:t>
            </w:r>
          </w:p>
        </w:tc>
        <w:tc>
          <w:tcPr>
            <w:tcW w:type="dxa" w:w="3120"/>
          </w:tcPr>
          <w:p>
            <w:r>
              <w:t>동일 투찰 건의 개찰 결과 상태(opengRsltDivNm) 변경 또는 부가 필드 갱신</w:t>
            </w:r>
          </w:p>
        </w:tc>
      </w:tr>
      <w:tr>
        <w:tc>
          <w:tcPr>
            <w:tcW w:type="dxa" w:w="3120"/>
          </w:tcPr>
          <w:p>
            <w:r>
              <w:t>PRICE_BACKFILL</w:t>
            </w:r>
          </w:p>
        </w:tc>
        <w:tc>
          <w:tcPr>
            <w:tcW w:type="dxa" w:w="3120"/>
          </w:tcPr>
          <w:p>
            <w:r>
              <w:t>68건</w:t>
            </w:r>
          </w:p>
        </w:tc>
        <w:tc>
          <w:tcPr>
            <w:tcW w:type="dxa" w:w="3120"/>
          </w:tcPr>
          <w:p>
            <w:r>
              <w:t>예비가격(rsrvtnPrce) 또는 기초금액(bssAmt) 개찰 후 사후 백필</w:t>
            </w:r>
          </w:p>
        </w:tc>
      </w:tr>
      <w:tr>
        <w:tc>
          <w:tcPr>
            <w:tcW w:type="dxa" w:w="3120"/>
          </w:tcPr>
          <w:p>
            <w:r>
              <w:t>DISTINCT_SUBMISSION</w:t>
            </w:r>
          </w:p>
        </w:tc>
        <w:tc>
          <w:tcPr>
            <w:tcW w:type="dxa" w:w="3120"/>
          </w:tcPr>
          <w:p>
            <w:r>
              <w:t>0건</w:t>
            </w:r>
          </w:p>
        </w:tc>
        <w:tc>
          <w:tcPr>
            <w:tcW w:type="dxa" w:w="3120"/>
          </w:tcPr>
          <w:p>
            <w:r>
              <w:t>✅ 무손실 확인: 이 분류에 해당하는 정규 투찰 행위 없음</w:t>
            </w:r>
          </w:p>
        </w:tc>
      </w:tr>
      <w:tr>
        <w:tc>
          <w:tcPr>
            <w:tcW w:type="dxa" w:w="3120"/>
          </w:tcPr>
          <w:p>
            <w:r>
              <w:t>DISTINCT_CLASSIFICATION_OR_LOT</w:t>
            </w:r>
          </w:p>
        </w:tc>
        <w:tc>
          <w:tcPr>
            <w:tcW w:type="dxa" w:w="3120"/>
          </w:tcPr>
          <w:p>
            <w:r>
              <w:t>0건</w:t>
            </w:r>
          </w:p>
        </w:tc>
        <w:tc>
          <w:tcPr>
            <w:tcW w:type="dxa" w:w="3120"/>
          </w:tcPr>
          <w:p>
            <w:r>
              <w:t>✅ 무손실 확인: 업무구분·분할 차이 인한 정규 행 없음</w:t>
            </w:r>
          </w:p>
        </w:tc>
      </w:tr>
      <w:tr>
        <w:tc>
          <w:tcPr>
            <w:tcW w:type="dxa" w:w="3120"/>
          </w:tcPr>
          <w:p>
            <w:r>
              <w:t>UNRESOLVED</w:t>
            </w:r>
          </w:p>
        </w:tc>
        <w:tc>
          <w:tcPr>
            <w:tcW w:type="dxa" w:w="3120"/>
          </w:tcPr>
          <w:p>
            <w:r>
              <w:t>0건</w:t>
            </w:r>
          </w:p>
        </w:tc>
        <w:tc>
          <w:tcPr>
            <w:tcW w:type="dxa" w:w="3120"/>
          </w:tcPr>
          <w:p>
            <w:r>
              <w:t>✅ 미분류 이상치 없음</w:t>
            </w:r>
          </w:p>
        </w:tc>
      </w:tr>
    </w:tbl>
    <w:p/>
    <w:p>
      <w:r>
        <w:t>레거시 5-컬럼 키는 복수 물품 분할 발주에서 1,067건의 정당한 투찰 행위를 축약했으나, 신규 7-컬럼 무손실 키에서는 이를 전수 보존합니다.</w:t>
      </w:r>
    </w:p>
    <w:p>
      <w:pPr>
        <w:pStyle w:val="Heading1"/>
      </w:pPr>
      <w:r>
        <w:t>4. 최종 낙찰자 카디널리티 실증 (Winner Cardinality)</w:t>
      </w:r>
    </w:p>
    <w:p>
      <w:r>
        <w:t>개찰결과 피드 내 24,978개 고유 공고·차수에 대한 최종 낙찰자 분포:</w:t>
      </w:r>
    </w:p>
    <w:p>
      <w:pPr>
        <w:pStyle w:val="ListNumber"/>
      </w:pPr>
      <w:r>
        <w:t>선정 낙찰자 플래그 (is_selected_winner == True) 분포:</w:t>
      </w:r>
    </w:p>
    <w:p>
      <w:pPr>
        <w:pStyle w:val="ListBullet"/>
      </w:pPr>
      <w:r>
        <w:t>0 낙찰자: 8,197건 (32.82%) — 유찰(무응찰, 예정가격 초과) 또는 개찰 직후 적격심사 진행 중인 공고.</w:t>
      </w:r>
    </w:p>
    <w:p>
      <w:pPr>
        <w:pStyle w:val="ListBullet"/>
      </w:pPr>
      <w:r>
        <w:t>1 낙찰자: 16,741건 (67.02%) — 표준 단일 낙찰 공고.</w:t>
      </w:r>
    </w:p>
    <w:p>
      <w:pPr>
        <w:pStyle w:val="ListBullet"/>
      </w:pPr>
      <w:r>
        <w:t>2인 이상 복수 낙찰자: 40건 (0.16%) — 다수 품목 분할계약(Multi-item) 또는 공동수급(공동이행방식).</w:t>
      </w:r>
    </w:p>
    <w:p>
      <w:pPr>
        <w:pStyle w:val="ListNumber"/>
      </w:pPr>
      <w:r>
        <w:t>다수 낙찰자 사례 실증 구조:</w:t>
      </w:r>
    </w:p>
    <w:p>
      <w:pPr>
        <w:pStyle w:val="ListBullet"/>
      </w:pPr>
      <w:r>
        <w:t>공고 R26BK01649062: 26개 세부 품목에 대해 3개 기업이 품목별로 각각 낙찰 (26개 낙찰 행).</w:t>
      </w:r>
    </w:p>
    <w:p>
      <w:pPr>
        <w:pStyle w:val="ListBullet"/>
      </w:pPr>
      <w:r>
        <w:t>공고 R26BK01645359: 5개 분할 품목에 대해 2개 기업이 각각 수주 (5개 낙찰 행).</w:t>
      </w:r>
    </w:p>
    <w:p>
      <w:pPr>
        <w:pStyle w:val="ListNumber"/>
      </w:pPr>
      <w:r>
        <w:t>모델링 권장 규격:</w:t>
      </w:r>
    </w:p>
    <w:p>
      <w:pPr>
        <w:pStyle w:val="ListBullet"/>
      </w:pPr>
      <w:r>
        <w:t>낙찰 결과를 무조건 1:1로 가정할 수 없으며, tenders (1) : award_outcomes (0..N) 관계형 테이블로 모델링해야 정보 유실이 없습니다.</w:t>
      </w:r>
    </w:p>
    <w:p>
      <w:pPr>
        <w:pStyle w:val="Heading1"/>
      </w:pPr>
      <w:r>
        <w:t>5. 피드 간 조인 카디널리티 및 정합성 (Cross-Feed Cardinality)</w:t>
      </w:r>
    </w:p>
    <w:p>
      <w:pPr>
        <w:pStyle w:val="Heading2"/>
      </w:pPr>
      <w:r>
        <w:t>5.1 입찰공고 → 개찰결과 (bids to awards)</w:t>
      </w:r>
    </w:p>
    <w:p>
      <w:pPr>
        <w:pStyle w:val="ListBullet"/>
      </w:pPr>
      <w:r>
        <w:t>8월 입찰공고 고유 건수: 32,895건</w:t>
      </w:r>
    </w:p>
    <w:p>
      <w:pPr>
        <w:pStyle w:val="ListBullet"/>
      </w:pPr>
      <w:r>
        <w:t>8월 개찰결과 고유 건수: 24,978건</w:t>
      </w:r>
    </w:p>
    <w:p>
      <w:pPr>
        <w:pStyle w:val="ListBullet"/>
      </w:pPr>
      <w:r>
        <w:t>양쪽 모두 존재하는 공고: 17,853건 (나머지는 8월 이전 공고의 8월 개찰 또는 8월 공고의 9월 개찰)</w:t>
      </w:r>
    </w:p>
    <w:p>
      <w:pPr>
        <w:pStyle w:val="ListBullet"/>
      </w:pPr>
      <w:r>
        <w:t>공고당 투찰사 수 분포:</w:t>
      </w:r>
    </w:p>
    <w:p>
      <w:pPr>
        <w:pStyle w:val="ListBullet"/>
      </w:pPr>
      <w:r>
        <w:t>전체 평균: 84.39개사 (중앙값 3.0개사, 최대 9,675개사)</w:t>
      </w:r>
    </w:p>
    <w:p>
      <w:pPr>
        <w:pStyle w:val="ListBullet"/>
      </w:pPr>
      <w:r>
        <w:t>공사: 평균 240.93개사 (중앙값 57.0개사, 최대 9,675개사)</w:t>
      </w:r>
    </w:p>
    <w:p>
      <w:pPr>
        <w:pStyle w:val="ListBullet"/>
      </w:pPr>
      <w:r>
        <w:t>물품: 평균 37.02개사 (중앙값 2.0개사, 최대 6,052개사)</w:t>
      </w:r>
    </w:p>
    <w:p>
      <w:pPr>
        <w:pStyle w:val="ListBullet"/>
      </w:pPr>
      <w:r>
        <w:t>용역: 평균 15.37개사 (중앙값 2.0개사, 최대 2,297개사)</w:t>
      </w:r>
    </w:p>
    <w:p>
      <w:pPr>
        <w:pStyle w:val="ListBullet"/>
      </w:pPr>
      <w:r>
        <w:t>외자: 평균 1.19개사 (중앙값 1.0개사, 최대 4개사)</w:t>
      </w:r>
    </w:p>
    <w:p>
      <w:pPr>
        <w:pStyle w:val="Heading2"/>
      </w:pPr>
      <w:r>
        <w:t>5.2 입찰공고 → 계약내역 (bids to contracts)</w:t>
      </w:r>
    </w:p>
    <w:p>
      <w:pPr>
        <w:pStyle w:val="ListBullet"/>
      </w:pPr>
      <w:r>
        <w:t>8월 전체 계약 체결 건수: 115,945건</w:t>
      </w:r>
    </w:p>
    <w:p>
      <w:pPr>
        <w:pStyle w:val="ListBullet"/>
      </w:pPr>
      <w:r>
        <w:t>공고번호 직접 연계 계약: 40,677건 (35.08%)</w:t>
      </w:r>
    </w:p>
    <w:p>
      <w:pPr>
        <w:pStyle w:val="ListBullet"/>
      </w:pPr>
      <w:r>
        <w:t>공고번호 미연계 계약: 75,268건 (64.92%)</w:t>
      </w:r>
    </w:p>
    <w:p>
      <w:pPr>
        <w:pStyle w:val="ListBullet"/>
      </w:pPr>
      <w:r>
        <w:t>미연계 계약의 사유별 정밀 분류:</w:t>
      </w:r>
    </w:p>
    <w:p>
      <w:pPr>
        <w:pStyle w:val="ListBullet"/>
      </w:pPr>
      <w:r>
        <w:t>수의계약 (contract_method == '수의계약'): 72,418건 (96.21%) — 나라장터 전자공고를 거치지 않고 자체 조달 규정에 따라 직접 체결된 소액 수의계약.</w:t>
      </w:r>
    </w:p>
    <w:p>
      <w:pPr>
        <w:pStyle w:val="ListBullet"/>
      </w:pPr>
      <w:r>
        <w:t>경쟁계약: 2,850건 (3.79%) (제한경쟁 1,693건, 일반경쟁 976건, 지명경쟁 181건) — 외부 시스템 연계 또는 오프라인 공고 후 계약서만 나라장터에 사후 등록된 건.</w:t>
      </w:r>
    </w:p>
    <w:p>
      <w:pPr>
        <w:pStyle w:val="ListBullet"/>
      </w:pPr>
      <w:r>
        <w:t>공고 기준 계약 체결 분포 (8월 공고 32,895건 기준):</w:t>
      </w:r>
    </w:p>
    <w:p>
      <w:pPr>
        <w:pStyle w:val="ListBullet"/>
      </w:pPr>
      <w:r>
        <w:t>0건 계약 체결: 23,996건 (익월 체결 예정 또는 유찰)</w:t>
      </w:r>
    </w:p>
    <w:p>
      <w:pPr>
        <w:pStyle w:val="ListBullet"/>
      </w:pPr>
      <w:r>
        <w:t>1건 계약 체결: 8,691건</w:t>
      </w:r>
    </w:p>
    <w:p>
      <w:pPr>
        <w:pStyle w:val="ListBullet"/>
      </w:pPr>
      <w:r>
        <w:t>2건 이상 복수 계약 체결: 208건 (분할 계약)</w:t>
      </w:r>
    </w:p>
    <w:p>
      <w:pPr>
        <w:pStyle w:val="Heading2"/>
      </w:pPr>
      <w:r>
        <w:t>5.3 통합계약번호 고유성 실증</w:t>
      </w:r>
    </w:p>
    <w:p>
      <w:pPr>
        <w:pStyle w:val="ListBullet"/>
      </w:pPr>
      <w:r>
        <w:t>unified_contract_no (untyCntrctNo): 115,945건 전수 100.0% 고유, 결측률 0.0% (중복 0건).</w:t>
      </w:r>
    </w:p>
    <w:p>
      <w:pPr>
        <w:pStyle w:val="Heading2"/>
      </w:pPr>
      <w:r>
        <w:t>5.4 공급업체 및 수요기관 차원 실측</w:t>
      </w:r>
    </w:p>
    <w:p>
      <w:pPr>
        <w:pStyle w:val="ListBullet"/>
      </w:pPr>
      <w:r>
        <w:t>공급기업 차원 (suppliers): 10자리 사업자등록번호 기준 총 143,842개 고유 기업 식별.</w:t>
      </w:r>
    </w:p>
    <w:p>
      <w:pPr>
        <w:pStyle w:val="ListBullet"/>
      </w:pPr>
      <w:r>
        <w:t>투찰 기업: 123,777개사</w:t>
      </w:r>
    </w:p>
    <w:p>
      <w:pPr>
        <w:pStyle w:val="ListBullet"/>
      </w:pPr>
      <w:r>
        <w:t>최종 낙찰 기업: 13,376개사</w:t>
      </w:r>
    </w:p>
    <w:p>
      <w:pPr>
        <w:pStyle w:val="ListBullet"/>
      </w:pPr>
      <w:r>
        <w:t>계약 체결 기업: 59,233개사</w:t>
      </w:r>
    </w:p>
    <w:p>
      <w:pPr>
        <w:pStyle w:val="ListBullet"/>
      </w:pPr>
      <w:r>
        <w:t>낙찰사의 계약 일치율: 85.0% (11,370개사 일치)</w:t>
      </w:r>
    </w:p>
    <w:p>
      <w:pPr>
        <w:pStyle w:val="ListBullet"/>
      </w:pPr>
      <w:r>
        <w:t>공공기관 차원 (agencies): 7자리 표준 기관코드 기준 총 14,091개 고유 기관 식별.</w:t>
      </w:r>
    </w:p>
    <w:p>
      <w:pPr>
        <w:pStyle w:val="Heading1"/>
      </w:pPr>
      <w:r>
        <w:t>6. 페이지네이션 무결성 감사 (Pagination Integrity Audit)</w:t>
      </w:r>
    </w:p>
    <w:p>
      <w:r>
        <w:t>수집된 원천 데이터를 바탕으로 검증 가능한 항목과 한계를 투명하게 구분했습니다:</w:t>
      </w:r>
    </w:p>
    <w:p>
      <w:pPr>
        <w:pStyle w:val="ListNumber"/>
      </w:pPr>
      <w:r>
        <w:t>소급 검증 완료 항목 (Retroactively Verified):</w:t>
      </w:r>
    </w:p>
    <w:p>
      <w:pPr>
        <w:pStyle w:val="ListBullet"/>
      </w:pPr>
      <w:r>
        <w:t>원천 파일 내 연속 행 중복 검사: 7,901건 (일별 수집 경계에 걸친 유찰 공고 레코드로 확인됨).</w:t>
      </w:r>
    </w:p>
    <w:p>
      <w:pPr>
        <w:pStyle w:val="ListBullet"/>
      </w:pPr>
      <w:r>
        <w:t>페이지 경계((i+1) % 999 == 0 및 (i+1) % 999 == 1) 레코드 간 중복: 0건.</w:t>
      </w:r>
    </w:p>
    <w:p>
      <w:pPr>
        <w:pStyle w:val="ListBullet"/>
      </w:pPr>
      <w:r>
        <w:t>매니페스트 상 수집 행 수 vs API 응답 행 수 일치율: 100.0%.</w:t>
      </w:r>
    </w:p>
    <w:p>
      <w:pPr>
        <w:pStyle w:val="ListBullet"/>
      </w:pPr>
      <w:r>
        <w:t>시계열 순서 단조성(Monotonicity) 유지 확인.</w:t>
      </w:r>
    </w:p>
    <w:p>
      <w:pPr>
        <w:pStyle w:val="ListNumber"/>
      </w:pPr>
      <w:r>
        <w:t>원천 데이터만으로 소급 검증 불가능한 항목 (Not Retroactively Verifiable):</w:t>
      </w:r>
    </w:p>
    <w:p>
      <w:pPr>
        <w:pStyle w:val="ListBullet"/>
      </w:pPr>
      <w:r>
        <w:t>페이지별 SHA-256 해시 핑거프린트: 수집 당시 원천 텍스트 스트림에는 페이지별 구분 태그가 기록되지 않음.</w:t>
      </w:r>
    </w:p>
    <w:p>
      <w:pPr>
        <w:pStyle w:val="ListBullet"/>
      </w:pPr>
      <w:r>
        <w:t>API 응답 헤더의 totalCount 실시간 변동(Drift): 원천 레코드 레벨에는 헤더가 저장되지 않음.</w:t>
      </w:r>
    </w:p>
    <w:p>
      <w:pPr>
        <w:pStyle w:val="ListNumber"/>
      </w:pPr>
      <w:r>
        <w:t>향후 관측성 보강 계획:</w:t>
      </w:r>
    </w:p>
    <w:p>
      <w:pPr>
        <w:pStyle w:val="ListBullet"/>
      </w:pPr>
      <w:r>
        <w:t>향후 1년 치 대용량 수집기에는 페이지 번호, 헤더 totalCount, 페이지 첫/끝 레코드 지문을 로깅하는 페이지 훅을 적용합니다.</w:t>
      </w:r>
    </w:p>
    <w:p>
      <w:pPr>
        <w:pStyle w:val="Heading1"/>
      </w:pPr>
      <w:r>
        <w:t>7. 스토리지 용량 및 압축 지표 (Storage Footprint)</w:t>
      </w:r>
    </w:p>
    <w:p>
      <w:pPr>
        <w:pStyle w:val="ListBullet"/>
      </w:pPr>
      <w:r>
        <w:t>원천 Gzip 압축 용량 (data/raw/*.jsonl.gz): 125.24 MB (131,322,271 바이트)</w:t>
      </w:r>
    </w:p>
    <w:p>
      <w:pPr>
        <w:pStyle w:val="ListBullet"/>
      </w:pPr>
      <w:r>
        <w:t>정규화 Parquet 용량 (data/processed/*.parquet): 141.29 MB (148,156,166 바이트)</w:t>
      </w:r>
    </w:p>
    <w:p>
      <w:pPr>
        <w:pStyle w:val="ListBullet"/>
      </w:pPr>
      <w:r>
        <w:t>비압축 원천 텍스트 대비 절감률: 비압축 JSON 기준 약 2.8 GB 분량의 226만 건 원천 데이터가 컬럼형 Parquet(Zstandard)을 통해 약 20:1 수준의 고효율 압축률을 달성함.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