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0"/>
          <w:szCs w:val="30"/>
        </w:rPr>
        <w:t xml:space="preserve">表格与分页测试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结果</w:t>
            </w:r>
          </w:p>
        </w:tc>
      </w:tr>
      <w:tr>
        <w:tc>
          <w:p>
            <w:r>
              <w:t xml:space="preserve">隐私</w:t>
            </w:r>
          </w:p>
        </w:tc>
        <w:tc>
          <w:p>
            <w:r>
              <w:t xml:space="preserve">仅本地处理</w:t>
            </w:r>
          </w:p>
        </w:tc>
      </w:tr>
    </w:tbl>
    <w:p>
      <w:r>
        <w:br w:type="page"/>
      </w:r>
    </w:p>
    <w:p>
      <w:r>
        <w:t xml:space="preserve">分页后的内容必须出现在第二页。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Project-generated table fixture</dc:title>
  <dc:creator>Format Converter Project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