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44"/>
          <w:szCs w:val="44"/>
        </w:rPr>
        <w:t xml:space="preserve">Affordance Prediction from Indoor Scenes:</w:t>
      </w:r>
    </w:p>
    <w:p>
      <w:pPr>
        <w:spacing w:after="120"/>
        <w:jc w:val="center"/>
      </w:pPr>
      <w:r>
        <w:rPr>
          <w:rFonts w:ascii="Arial" w:cs="Arial" w:eastAsia="Arial" w:hAnsi="Arial"/>
          <w:b/>
          <w:bCs/>
          <w:color w:val="2B579A"/>
          <w:sz w:val="36"/>
          <w:szCs w:val="36"/>
        </w:rPr>
        <w:t xml:space="preserve">VLM-Guided Indicator Discovery, Grounding, and</w:t>
      </w:r>
    </w:p>
    <w:p>
      <w:pPr>
        <w:spacing w:after="400"/>
        <w:jc w:val="center"/>
      </w:pPr>
      <w:r>
        <w:rPr>
          <w:rFonts w:ascii="Arial" w:cs="Arial" w:eastAsia="Arial" w:hAnsi="Arial"/>
          <w:b/>
          <w:bCs/>
          <w:color w:val="2B579A"/>
          <w:sz w:val="36"/>
          <w:szCs w:val="36"/>
        </w:rPr>
        <w:t xml:space="preserve">Distilled Lightweight Modeling</w:t>
      </w:r>
    </w:p>
    <w:p>
      <w:pPr>
        <w:spacing w:after="100"/>
        <w:jc w:val="center"/>
      </w:pPr>
      <w:r>
        <w:rPr>
          <w:i/>
          <w:iCs/>
          <w:color w:val="555555"/>
          <w:sz w:val="28"/>
          <w:szCs w:val="28"/>
        </w:rPr>
        <w:t xml:space="preserve">Detailed Methodological Project Plan</w:t>
      </w:r>
    </w:p>
    <w:p>
      <w:pPr>
        <w:spacing w:after="80"/>
        <w:jc w:val="center"/>
      </w:pPr>
      <w:r>
        <w:rPr>
          <w:color w:val="777777"/>
          <w:sz w:val="22"/>
          <w:szCs w:val="22"/>
        </w:rPr>
        <w:t xml:space="preserve">Version 1.0</w:t>
      </w:r>
    </w:p>
    <w:p>
      <w:pPr>
        <w:spacing w:after="80"/>
      </w:pPr>
    </w:p>
    <w:p>
      <w:pPr>
        <w:spacing w:after="80"/>
      </w:pPr>
    </w:p>
    <w:p>
      <w:pPr>
        <w:spacing w:after="80"/>
      </w:pPr>
    </w:p>
    <w:p>
      <w:pPr>
        <w:spacing w:after="80"/>
      </w:pPr>
    </w:p>
    <w:p>
      <w:pPr>
        <w:spacing w:after="80"/>
      </w:pPr>
    </w:p>
    <w:p>
      <w:pPr>
        <w:spacing w:after="80"/>
      </w:pPr>
    </w:p>
    <w:p>
      <w:pPr>
        <w:spacing w:after="100"/>
        <w:jc w:val="center"/>
      </w:pPr>
      <w:r>
        <w:rPr>
          <w:color w:val="555555"/>
          <w:sz w:val="22"/>
          <w:szCs w:val="22"/>
        </w:rPr>
        <w:t xml:space="preserve">Subproject of the Image Tagging System for Environment–Cognition Research</w:t>
      </w:r>
    </w:p>
    <w:p>
      <w:pPr>
        <w:spacing w:after="100"/>
        <w:jc w:val="center"/>
      </w:pPr>
      <w:r>
        <w:rPr>
          <w:color w:val="777777"/>
          <w:sz w:val="20"/>
          <w:szCs w:val="20"/>
        </w:rPr>
        <w:t xml:space="preserve">Taxonomy Reference: Environment_Cognition_Taxonomy V2.7 — Activity_Affordances</w:t>
      </w:r>
    </w:p>
    <w:p>
      <w:pPr>
        <w:jc w:val="center"/>
      </w:pPr>
      <w:r>
        <w:rPr>
          <w:color w:val="777777"/>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Executive Summary and Scientific Rationale</w:t>
      </w:r>
    </w:p>
    <w:p>
      <w:pPr>
        <w:spacing w:after="120"/>
      </w:pPr>
      <w:r>
        <w:t xml:space="preserve">This document specifies the complete methodology for a subproject within a larger Image Tagging System designed to produce structured, uncertainty-aware evidence from images of architectural interiors. The parent system feeds a hierarchical Bayesian network that links environmental attributes to cognitive, affective, and behavioural outcomes. The present subproject addresses one specific layer of that system: the prediction of activity affordances from single indoor-scene images.</w:t>
      </w:r>
    </w:p>
    <w:p>
      <w:pPr>
        <w:spacing w:after="120"/>
      </w:pPr>
      <w:r>
        <w:t xml:space="preserve">An activity affordance, as operationalised in the companion taxonomy (V2.7, Activity_Affordances tab), is a latent suitability judgement of the form: given the visible properties of this space, how well does it support activity X for a typical user? The taxonomy enumerates 130 such affordances spanning 13 families (Rest &amp; Recovery, Personal Care, Food &amp; Drink, Focused Knowledge Work, Collaboration &amp; Meetings, Learning &amp; Teaching, Creative &amp; Making, Leisure &amp; Entertainment, Movement &amp; Fitness, Commerce &amp; Service, Care/Support/Sensitive Interactions, and two Workplace sub-families). Each affordance is linked to primary room types, two-dimensional visual cues, and a tier designation indicating measurement priority.</w:t>
      </w:r>
    </w:p>
    <w:p>
      <w:pPr>
        <w:spacing w:after="120"/>
      </w:pPr>
      <w:r>
        <w:t xml:space="preserve">The central engineering problem is that strong Vision–Language Models (VLMs) can produce rich affordance judgements from images, but their inference cost (on the order of seconds per image) and their opacity make them unsuitable for deployment within a real-time tagging pipeline that must process tens of thousands of images. The solution pursued here is knowledge distillation: we use a VLM to generate a structured training dataset of affordance scores and the visual indicators that justify them, and then train lightweight surrogate models that approximate VLM-level accuracy at orders-of-magnitude lower cost.</w:t>
      </w:r>
    </w:p>
    <w:p>
      <w:pPr>
        <w:spacing w:after="120"/>
      </w:pPr>
      <w:r>
        <w:t xml:space="preserve">The theoretical motivation draws on Gibson’s ecological psychology (Gibson, 1979), in which affordances are relational properties of the environment specified by invariant information in the ambient optic array. The present work operationalises that idea computationally: the VLM’s indicator-discovery stage identifies the invariant information (objects, spatial relations, surface properties) that specifies each affordance, and the distilled models learn to detect that information directly from segmentation features.</w:t>
      </w:r>
    </w:p>
    <w:p>
      <w:pPr>
        <w:pStyle w:val="Heading1"/>
      </w:pPr>
      <w:r>
        <w:t xml:space="preserve">2. Scope and Interface with the Parent Image Tagging System</w:t>
      </w:r>
    </w:p>
    <w:p>
      <w:pPr>
        <w:pStyle w:val="Heading2"/>
      </w:pPr>
      <w:r>
        <w:t xml:space="preserve">2.1 Relationship to the Tagging Architecture</w:t>
      </w:r>
    </w:p>
    <w:p>
      <w:pPr>
        <w:spacing w:after="120"/>
      </w:pPr>
      <w:r>
        <w:t xml:space="preserve">The parent system (documented in the Image Tagging System Specs) comprises an Ingestion layer, a Perception layer (entities, layout, attributes, relations), an Attribute Computation layer, a Tag Synthesis layer, an Ontology layer, a Calibration &amp; Fusion layer, a Provenance Graph, and a Bayesian Network Interface. The affordance prediction subproject sits primarily within the Perception and Attribute Computation layers, with its outputs exported through the BN Interface.</w:t>
      </w:r>
    </w:p>
    <w:p>
      <w:pPr>
        <w:spacing w:after="120"/>
      </w:pPr>
      <w:r>
        <w:t xml:space="preserve">Specifically, the affordance module receives as input the masks, bounding boxes, and class labels produced by the Perception layer’s entity and layout detectors, and the geometric features computed by the Attribute Computation layer (areas, distances, counts). It produces as output a vector of calibrated affordance-suitability scores (one per taxonomy affordance) together with structured indicator records that serve as the provenance evidence for each score. These outputs are formatted as Attribute Frames with BN Export Hooks, following the Level 3 data model specified in the parent system.</w:t>
      </w:r>
    </w:p>
    <w:p>
      <w:pPr>
        <w:pStyle w:val="Heading2"/>
      </w:pPr>
      <w:r>
        <w:t xml:space="preserve">2.2 Target Affordance Set</w:t>
      </w:r>
    </w:p>
    <w:p>
      <w:pPr>
        <w:spacing w:after="120"/>
      </w:pPr>
      <w:r>
        <w:t xml:space="preserve">The full target set comprises the 130 activity affordances enumerated in the Activity_Affordances tab of the taxonomy (IDs L059–L188). Each affordance is defined by its family, a natural-language definition, a list of primary room types, a cue description referencing artefacts, layout, signage, and surface finishes, and a measurement tier (Tier 1 or Tier 2). Tier 1 affordances (the large majority) are prioritised for initial model development because they are judged to have both high image-judgability and high preference-relevance.</w:t>
      </w:r>
    </w:p>
    <w:p>
      <w:pPr>
        <w:spacing w:after="120"/>
      </w:pPr>
      <w:r>
        <w:t xml:space="preserve">A representative sample of the affordance families and their cardinalities is given in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Family</w:t>
            </w:r>
          </w:p>
        </w:tc>
        <w:tc>
          <w:tcPr>
            <w:tcW w:type="dxa" w:w="12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6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Representative Affordances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Rest &amp; Recovery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Sleep; Nap; Relax; Meditate; Solitude-in-Public</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Personal Care</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Bathe; Toilet Use; Grooming; Dress; Handwashing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Food &amp; Drink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Cook (Daily); Meal Prep; Eat; Coffee/Tea Ritual</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Focused Knowledge Work</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Read (Deep); Computer Work; Data Analysis; Focus Work</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Collaboration &amp; Meetings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Brainstorming; Formal Meeting; Interview; Client Reception</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Learning &amp; Teaching</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Lecture Listening; Group Study; Hands-on Lab; Museum Learning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Creative &amp; Making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Drawing; Painting; Photography; Music Practice; Repair</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Leisure &amp; Entertainment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Watch TV; Casual Conversation; Game Night; Read for Pleasure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Movement &amp; Fitness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Strength Training; Yoga; Walking Through; Queue Standing</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Commerce &amp; Service</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Browse Products; Checkout; Hotel Check-in; Order Food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Care, Support &amp; Sensitive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Counseling; Medical Exam; Childcare; Waiting Under Anxiety</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Workplace sub-families</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Drop-in Collaboration; Heads-down Quiet Zone</w:t>
            </w:r>
          </w:p>
        </w:tc>
      </w:tr>
    </w:tbl>
    <w:p>
      <w:pPr>
        <w:spacing w:after="80"/>
      </w:pPr>
    </w:p>
    <w:p>
      <w:pPr>
        <w:pStyle w:val="Heading2"/>
      </w:pPr>
      <w:r>
        <w:t xml:space="preserve">2.3 Image Corpus</w:t>
      </w:r>
    </w:p>
    <w:p>
      <w:pPr>
        <w:spacing w:after="120"/>
      </w:pPr>
      <w:r>
        <w:t xml:space="preserve">The primary image source is the Hypersim dataset (Roberts et al., 2021), which provides photorealistic synthetic renderings of 461 indoor scenes with pixel-perfect ground-truth geometry, per-pixel semantic labels, and known camera parameters. Hypersim is advantageous for three reasons: (a) its ground-truth segmentation eliminates noise from the scene decomposition stage, allowing cleaner evaluation of downstream affordance models; (b) its diverse scene types span residential, commercial, educational, and healthcare interiors, aligning well with the taxonomy’s 12 building typologies and 45 room types; and (c) its depth maps and surface normals enable metric-scale spatial feature computation (e.g., real-valued counter area rather than pixel-proportional area).</w:t>
      </w:r>
    </w:p>
    <w:p>
      <w:pPr>
        <w:spacing w:after="120"/>
      </w:pPr>
      <w:r>
        <w:t xml:space="preserve">A secondary corpus drawn from real photographs (e.g., SUN RGB-D, Matterport3D, or a custom web-scraped set) will be used in the generalisation evaluation to test whether models trained on Hypersim transfer to photographic imagery. The domain gap between synthetic and real images is a known concern (Tremblay et al., 2018), and specific mitigation strategies are described in the Feature Construction section.</w:t>
      </w:r>
    </w:p>
    <w:p>
      <w:pPr>
        <w:pStyle w:val="Heading1"/>
      </w:pPr>
      <w:r>
        <w:t xml:space="preserve">3. Stage 1 — Scene Decomposition (Object Segmentation)</w:t>
      </w:r>
    </w:p>
    <w:p>
      <w:pPr>
        <w:pStyle w:val="Heading2"/>
      </w:pPr>
      <w:r>
        <w:t xml:space="preserve">3.1 Purpose</w:t>
      </w:r>
    </w:p>
    <w:p>
      <w:pPr>
        <w:spacing w:after="120"/>
      </w:pPr>
      <w:r>
        <w:t xml:space="preserve">The goal of scene decomposition is to produce a set of labelled instance masks for every salient object and architectural surface visible in the image. These masks serve two downstream functions: (a) they provide the spatial primitives from which geometric affordance features are computed, and (b) they serve as grounding targets for the VLM’s indicator outputs.</w:t>
      </w:r>
    </w:p>
    <w:p>
      <w:pPr>
        <w:pStyle w:val="Heading2"/>
      </w:pPr>
      <w:r>
        <w:t xml:space="preserve">3.2 Model Selection: Mask2Former</w:t>
      </w:r>
    </w:p>
    <w:p>
      <w:pPr>
        <w:spacing w:after="120"/>
      </w:pPr>
      <w:r>
        <w:t xml:space="preserve">The recommended segmentation backbone is Mask2Former (Cheng et al., 2022) with a Swin-L encoder pre-trained on COCO panoptic. Mask2Former unifies instance, semantic, and panoptic segmentation under a single masked-attention transformer architecture. Its key advantage for this project is that it operates in a class-agnostic, prompt-free manner: it produces masks for all visible entities in a single forward pass without requiring textual queries, making it substantially faster than language-guided segmenters such as Grounded-SAM.</w:t>
      </w:r>
    </w:p>
    <w:p>
      <w:pPr>
        <w:spacing w:after="120"/>
      </w:pPr>
      <w:r>
        <w:rPr>
          <w:b/>
          <w:bCs/>
        </w:rPr>
        <w:t xml:space="preserve">Model checkpoint: </w:t>
      </w:r>
      <w:r>
        <w:t xml:space="preserve">facebook/mask2former-swin-large-coco-panoptic (available via HuggingFace Transformers).</w:t>
      </w:r>
    </w:p>
    <w:p>
      <w:pPr>
        <w:spacing w:after="120"/>
      </w:pPr>
      <w:r>
        <w:rPr>
          <w:b/>
          <w:bCs/>
        </w:rPr>
        <w:t xml:space="preserve">Input resolution: </w:t>
      </w:r>
      <w:r>
        <w:t xml:space="preserve">1024 × 1024 (standard Mask2Former training resolution). Images should be resized with aspect-ratio-preserving padding to match this resolution.</w:t>
      </w:r>
    </w:p>
    <w:p>
      <w:pPr>
        <w:spacing w:after="120"/>
      </w:pPr>
      <w:r>
        <w:rPr>
          <w:b/>
          <w:bCs/>
        </w:rPr>
        <w:t xml:space="preserve">Post-processing: </w:t>
      </w:r>
      <w:r>
        <w:t xml:space="preserve">Apply the model’s built-in panoptic post-processing to merge overlapping masks and assign a single class label per pixel. Filter masks with area below 0.5% of image area to suppress spurious detections.</w:t>
      </w:r>
    </w:p>
    <w:p>
      <w:pPr>
        <w:spacing w:after="120"/>
      </w:pPr>
      <w:r>
        <w:rPr>
          <w:b/>
          <w:bCs/>
        </w:rPr>
        <w:t xml:space="preserve">Output schema per mask: </w:t>
      </w:r>
      <w:r>
        <w:t xml:space="preserve">object_id (int), class_label (str, from COCO-panoptic 133 classes), segmentation_mask (binary H×W), bounding_box ([x_min, y_min, x_max, y_max]), area_px (int), centroid_px ([cx, cy]), confidence (float).</w:t>
      </w:r>
    </w:p>
    <w:p>
      <w:pPr>
        <w:pStyle w:val="Heading2"/>
      </w:pPr>
      <w:r>
        <w:t xml:space="preserve">3.3 Class Vocabulary Alignment</w:t>
      </w:r>
    </w:p>
    <w:p>
      <w:pPr>
        <w:spacing w:after="120"/>
      </w:pPr>
      <w:r>
        <w:t xml:space="preserve">The COCO panoptic vocabulary (133 classes) does not perfectly align with the objects referenced in the taxonomy’s room-type and affordance definitions. A mapping table must therefore be constructed. For example, the taxonomy defines “stove” as a signature artifact of Kitchen (RT03) and a key indicator of Cook (Daily) (L079), but COCO labels the same object as “oven”. Constructing this mapping is a one-time manual effort. The mapping should also incorporate WordNet synsets so that hypernym propagation in the parent Ontology layer operates correctly (e.g., stove → cooking_appliance → appliance → artifact).</w:t>
      </w:r>
    </w:p>
    <w:p>
      <w:pPr>
        <w:pStyle w:val="Heading2"/>
      </w:pPr>
      <w:r>
        <w:t xml:space="preserve">3.4 Augmented Segmentation for Taxonomy-Specific Classes</w:t>
      </w:r>
    </w:p>
    <w:p>
      <w:pPr>
        <w:spacing w:after="120"/>
      </w:pPr>
      <w:r>
        <w:t xml:space="preserve">Some objects critical to the taxonomy (e.g., “acoustic panels”, “whiteboard”, “exercise equipment”) are absent from COCO. For these, two strategies are available. First, a zero-shot open-vocabulary detector such as Grounding DINO (Liu et al., 2023) can be queried with the missing class names and its output boxes converted to masks via SAM 2 (Ravi et al., 2024). Second, for classes with sufficient training data, the Mask2Former head can be fine-tuned on a small annotated set. The first strategy is preferred at the initial stage because it requires no annotation effort.</w:t>
      </w:r>
    </w:p>
    <w:p>
      <w:pPr>
        <w:pStyle w:val="Heading2"/>
      </w:pPr>
      <w:r>
        <w:t xml:space="preserve">3.5 Using Hypersim Ground Truth</w:t>
      </w:r>
    </w:p>
    <w:p>
      <w:pPr>
        <w:spacing w:after="120"/>
      </w:pPr>
      <w:r>
        <w:t xml:space="preserve">When processing Hypersim images, the ground-truth semantic segmentation and instance segmentation provided with the dataset should be used directly rather than running Mask2Former. This eliminates segmentation error as a confound when evaluating downstream affordance model performance. Mask2Former predictions should still be generated and stored alongside ground truth so that the impact of segmentation noise on affordance accuracy can be quantified in ablation experiments.</w:t>
      </w:r>
    </w:p>
    <w:p>
      <w:pPr>
        <w:pStyle w:val="Heading1"/>
      </w:pPr>
      <w:r>
        <w:t xml:space="preserve">4. Stage 2 — Candidate Feature Extraction</w:t>
      </w:r>
    </w:p>
    <w:p>
      <w:pPr>
        <w:pStyle w:val="Heading2"/>
      </w:pPr>
      <w:r>
        <w:t xml:space="preserve">4.1 Purpose</w:t>
      </w:r>
    </w:p>
    <w:p>
      <w:pPr>
        <w:spacing w:after="120"/>
      </w:pPr>
      <w:r>
        <w:t xml:space="preserve">Before any VLM reasoning is invoked, a battery of geometric and topological features is computed from the segmentation masks. These features capture the spatial layout properties that underlie many affordance judgements—properties that object labels alone cannot express. The theoretical justification is that affordances are not merely determined by the presence of objects but by their spatial arrangement, as emphasised in space-syntax research (Hillier &amp; Hanson, 1984) and environment–behaviour studies (Barker, 1968).</w:t>
      </w:r>
    </w:p>
    <w:p>
      <w:pPr>
        <w:pStyle w:val="Heading2"/>
      </w:pPr>
      <w:r>
        <w:t xml:space="preserve">4.2 Feature Categories</w:t>
      </w:r>
    </w:p>
    <w:p>
      <w:pPr>
        <w:pStyle w:val="Heading3"/>
      </w:pPr>
      <w:r>
        <w:t xml:space="preserve">4.2.1 Object-Level Geometric Features</w:t>
      </w:r>
    </w:p>
    <w:p>
      <w:pPr>
        <w:spacing w:after="120"/>
      </w:pPr>
      <w:r>
        <w:t xml:space="preserve">For every detected object mask, compute the following: area in pixels (area_px); area normalised by total image area (area_frac); bounding-box aspect ratio; mask solidity (mask area divided by convex hull area); centroid coordinates normalised to [0, 1]; and vertical position (centroid_y normalised), which proxies floor-versus-ceiling placement.</w:t>
      </w:r>
    </w:p>
    <w:p>
      <w:pPr>
        <w:spacing w:after="120"/>
      </w:pPr>
      <w:r>
        <w:t xml:space="preserve">When Hypersim depth maps are available, convert pixel areas to metric areas (m²) using the per-pixel depth and known camera intrinsics. This yields physically meaningful features such as counter_area_m2, which are invariant to camera distance and more interpretable than pixel fractions.</w:t>
      </w:r>
    </w:p>
    <w:p>
      <w:pPr>
        <w:pStyle w:val="Heading3"/>
      </w:pPr>
      <w:r>
        <w:t xml:space="preserve">4.2.2 Pairwise Spatial Relations</w:t>
      </w:r>
    </w:p>
    <w:p>
      <w:pPr>
        <w:spacing w:after="120"/>
      </w:pPr>
      <w:r>
        <w:t xml:space="preserve">For all pairs of task-relevant objects (e.g., stove–counter, sink–counter, desk–chair, bed–nightstand), compute: Euclidean distance between centroids (in pixels and, where depth is available, in metres); angular bearing of one object relative to another (left-of, right-of, above, below); intersection-over-union of bounding boxes (IoU, capturing adjacency versus separation); and minimum contour distance (the shortest distance between the two mask boundaries), which more faithfully captures physical proximity than centroid distance for irregularly shaped objects.</w:t>
      </w:r>
    </w:p>
    <w:p>
      <w:pPr>
        <w:spacing w:after="120"/>
      </w:pPr>
      <w:r>
        <w:t xml:space="preserve">These pairwise features encode the functional relationships between objects. For example, the distance from stove to counter is a critical indicator for cooking affordances: a large distance implies a poor work-triangle and therefore reduced suitability for daily cooking (L079) and meal prep (L080).</w:t>
      </w:r>
    </w:p>
    <w:p>
      <w:pPr>
        <w:pStyle w:val="Heading3"/>
      </w:pPr>
      <w:r>
        <w:t xml:space="preserve">4.2.3 Room-Level Aggregate Features</w:t>
      </w:r>
    </w:p>
    <w:p>
      <w:pPr>
        <w:spacing w:after="120"/>
      </w:pPr>
      <w:r>
        <w:t xml:space="preserve">Aggregate features capture the overall spatial character of the scene: total number of detected objects (object_count); number of objects per class (e.g., n_chairs, n_tables, n_monitors); floor area estimate (from the largest horizontal-surface mask or from depth-derived plane fitting); wall area estimate; room aspect ratio (width to depth from the depth map); free-floor fraction (floor pixels not occluded by furniture); and a clutter index defined as (sum of all furniture mask areas) / (floor area). These features are relevant to affordances such as Crowding Pressure (L14 in the latent variables), Movement &amp; Fitness affordances that require open floor space, and Collaboration affordances that depend on seating count.</w:t>
      </w:r>
    </w:p>
    <w:p>
      <w:pPr>
        <w:pStyle w:val="Heading3"/>
      </w:pPr>
      <w:r>
        <w:t xml:space="preserve">4.2.4 Functional-Zone Features</w:t>
      </w:r>
    </w:p>
    <w:p>
      <w:pPr>
        <w:spacing w:after="120"/>
      </w:pPr>
      <w:r>
        <w:t xml:space="preserve">Certain affordances depend on the identification of functional zones rather than individual objects. For instance, the “work triangle” in kitchens (the spatial relationship among stove, sink, and refrigerator) is a standard design heuristic for cooking affordances. Similarly, a “seating cluster” (a group of chairs or sofas within conversational distance) is relevant to socialisation affordances. Zone features are computed by clustering detected objects by spatial proximity (using DBSCAN on centroid coordinates with a distance threshold calibrated to typical furniture scales) and then characterising each cluster by its member classes, spatial extent, and internal density.</w:t>
      </w:r>
    </w:p>
    <w:p>
      <w:pPr>
        <w:pStyle w:val="Heading2"/>
      </w:pPr>
      <w:r>
        <w:t xml:space="preserve">4.3 Feature Normalisation and Missing-Value Policy</w:t>
      </w:r>
    </w:p>
    <w:p>
      <w:pPr>
        <w:spacing w:after="120"/>
      </w:pPr>
      <w:r>
        <w:t xml:space="preserve">All features are stored in raw form and in standardised (z-scored) form. When a feature is undefined because the requisite objects are absent (e.g., stove_counter_distance when no stove is detected), the raw value is set to NaN and a companion binary indicator (has_stove = 0) is recorded. Imputation strategies for the distilled models are specified in the Distilled Modeling section.</w:t>
      </w:r>
    </w:p>
    <w:p>
      <w:pPr>
        <w:pStyle w:val="Heading1"/>
      </w:pPr>
      <w:r>
        <w:t xml:space="preserve">5. Stage 3 — Affordance Indicator Discovery (VLM Reasoning)</w:t>
      </w:r>
    </w:p>
    <w:p>
      <w:pPr>
        <w:pStyle w:val="Heading2"/>
      </w:pPr>
      <w:r>
        <w:t xml:space="preserve">5.1 Purpose</w:t>
      </w:r>
    </w:p>
    <w:p>
      <w:pPr>
        <w:spacing w:after="120"/>
      </w:pPr>
      <w:r>
        <w:t xml:space="preserve">This is the intellectual core of the pipeline. A strong Vision–Language Model examines each image together with its detected object list and produces, for each target affordance: (a) a suitability score on a defined scale, and (b) a structured list of visual indicators—the specific objects, object attributes, spatial relations, or holistic scene properties—that support or oppose the affordance judgement. The indicators constitute the VLM’s explanatory reasoning and serve both as training signal for the distilled models and as provenance evidence for the Bayesian network.</w:t>
      </w:r>
    </w:p>
    <w:p>
      <w:pPr>
        <w:pStyle w:val="Heading2"/>
      </w:pPr>
      <w:r>
        <w:t xml:space="preserve">5.2 Model Selection</w:t>
      </w:r>
    </w:p>
    <w:p>
      <w:pPr>
        <w:spacing w:after="120"/>
      </w:pPr>
      <w:r>
        <w:t xml:space="preserve">The recommended model is Qwen2-VL-72B-Instruct (Bai et al., 2023), a 72-billion-parameter multimodal transformer with strong spatial reasoning and instruction-following capabilities. If computational budget is constrained, Qwen2-VL-7B-Instruct provides a viable alternative at approximately 10× lower cost, albeit with some degradation in spatial reasoning quality. An alternative of comparable capability is InternVL2.5-78B (Chen et al., 2024). The choice between these should be settled by a preliminary comparison on a held-out set of 200 images, measuring agreement with human affordance ratings.</w:t>
      </w:r>
    </w:p>
    <w:p>
      <w:pPr>
        <w:spacing w:after="120"/>
      </w:pPr>
      <w:r>
        <w:rPr>
          <w:b/>
          <w:bCs/>
        </w:rPr>
        <w:t xml:space="preserve">Inference configuration: </w:t>
      </w:r>
      <w:r>
        <w:t xml:space="preserve">Temperature 0.0 (deterministic decoding); max_new_tokens 2048; image resolution 1344 × 1344 (Qwen2-VL native dynamic resolution); BF16 precision. For the 72B model, use 4-bit GPTQ quantisation with vLLM serving on 2×4 A100-80GB GPUs. Expected throughput: approximately 0.3–0.5 images per second per GPU node.</w:t>
      </w:r>
    </w:p>
    <w:p>
      <w:pPr>
        <w:pStyle w:val="Heading2"/>
      </w:pPr>
      <w:r>
        <w:t xml:space="preserve">5.3 Prompt Design</w:t>
      </w:r>
    </w:p>
    <w:p>
      <w:pPr>
        <w:spacing w:after="120"/>
      </w:pPr>
      <w:r>
        <w:t xml:space="preserve">Prompt engineering is critical for eliciting structured, consistent, and grounded indicator outputs. The prompt template comprises four parts: a system preamble that defines the evaluator role and output constraints; a per-affordance task block that specifies the activity, its definition (drawn verbatim from the taxonomy), and the rating scale; a context injection of the detected object list; and a structured output schema enforced via few-shot exemplars.</w:t>
      </w:r>
    </w:p>
    <w:p>
      <w:pPr>
        <w:pStyle w:val="Heading3"/>
      </w:pPr>
      <w:r>
        <w:t xml:space="preserve">5.3.1 System Preamble</w:t>
      </w:r>
    </w:p>
    <w:p>
      <w:pPr>
        <w:spacing w:after="120"/>
      </w:pPr>
      <w:r>
        <w:t xml:space="preserve">The system preamble reads as follows (paraphrased for brevity): You are an expert in environmental psychology and interior design. You will evaluate a single image of an indoor space for its suitability for a specific activity. You must produce a JSON object containing: (1) a suitability score from 1 to 7 following the anchors 1 = Not at all suitable to 7 = Extremely suitable; (2) a list of indicator objects, each with fields name (str), type (object or attribute), polarity (positive or negative), strength (low, medium, high), and rationale (one sentence). You must cite only visual evidence present in the image. Do not hallucinate objects or features not visible.</w:t>
      </w:r>
    </w:p>
    <w:p>
      <w:pPr>
        <w:pStyle w:val="Heading3"/>
      </w:pPr>
      <w:r>
        <w:t xml:space="preserve">5.3.2 Per-Affordance Task Block</w:t>
      </w:r>
    </w:p>
    <w:p>
      <w:pPr>
        <w:spacing w:after="120"/>
      </w:pPr>
      <w:r>
        <w:t xml:space="preserve">For each affordance, the prompt inserts the activity name, its taxonomy definition, and the primary room types. This contextualises the VLM’s evaluation. For example, for L079 (Cook – Daily): Evaluate how suitable this space is for daily cooking. Definition: suitability of the pictured space for doing cook (daily) given typical user intentions. Primary room types: Kitchen (RT03), Commercial Kitchen (RT15). The prompt concludes with: Given the image and the detected object list, produce your evaluation in the specified JSON format.</w:t>
      </w:r>
    </w:p>
    <w:p>
      <w:pPr>
        <w:pStyle w:val="Heading3"/>
      </w:pPr>
      <w:r>
        <w:t xml:space="preserve">5.3.3 Batch Strategy</w:t>
      </w:r>
    </w:p>
    <w:p>
      <w:pPr>
        <w:spacing w:after="120"/>
      </w:pPr>
      <w:r>
        <w:t xml:space="preserve">Evaluating all 130 affordances per image would require 130 VLM forward passes, which is prohibitively expensive. Instead, a two-stage batch strategy is employed. In the first pass, a coarse room-type classifier (which may itself be the VLM or a lightweight CNN) assigns the image to its most probable room type(s). The RoomType_to_Activity mapping in the taxonomy then selects the subset of affordances that have non-negligible prior probability for that room type. Typically, this reduces the evaluation set to 10–25 affordances per image. In the second pass, these affordances are evaluated in batches of 5 per VLM call (each call includes 5 task blocks), yielding 2–5 VLM calls per image rather than 130.</w:t>
      </w:r>
    </w:p>
    <w:p>
      <w:pPr>
        <w:spacing w:after="120"/>
      </w:pPr>
      <w:r>
        <w:t xml:space="preserve">Additionally, for affordances clearly irrelevant to the detected scene (e.g., Strength Training in a bathroom), the model’s score is set to 1 (not at all suitable) without VLM invocation, using a rule-based filter on the object list and room-type classification.</w:t>
      </w:r>
    </w:p>
    <w:p>
      <w:pPr>
        <w:pStyle w:val="Heading2"/>
      </w:pPr>
      <w:r>
        <w:t xml:space="preserve">5.4 Output Parsing and Validation</w:t>
      </w:r>
    </w:p>
    <w:p>
      <w:pPr>
        <w:spacing w:after="120"/>
      </w:pPr>
      <w:r>
        <w:t xml:space="preserve">The VLM’s JSON output is parsed with a fault-tolerant JSON parser (e.g., json-repair). Each indicator record is validated against the following constraints: the name field must be non-empty; the type field must be either “object” or “attribute”; the polarity field must be “positive” or “negative”; the strength field must be one of “low”, “medium”, or “high”. Records that fail validation are logged and excluded. If the VLM fails to produce valid JSON after two retries with rephrased prompts, the image–affordance pair is flagged for manual review.</w:t>
      </w:r>
    </w:p>
    <w:p>
      <w:pPr>
        <w:pStyle w:val="Heading2"/>
      </w:pPr>
      <w:r>
        <w:t xml:space="preserve">5.5 Indicator Taxonomy</w:t>
      </w:r>
    </w:p>
    <w:p>
      <w:pPr>
        <w:spacing w:after="120"/>
      </w:pPr>
      <w:r>
        <w:t xml:space="preserve">Two categories of indicators emerge from the VLM outputs, and the distinction is important for downstream grounding and feature engineering.</w:t>
      </w:r>
    </w:p>
    <w:p>
      <w:pPr>
        <w:spacing w:after="120"/>
      </w:pPr>
      <w:r>
        <w:rPr>
          <w:b/>
          <w:bCs/>
        </w:rPr>
        <w:t xml:space="preserve">Object indicators </w:t>
      </w:r>
      <w:r>
        <w:t xml:space="preserve">are tied to specific segmentation masks. Examples: stove (positive for cooking), bed (positive for sleep), toilet (positive for toilet use). These can be grounded directly to masks from Stage 1.</w:t>
      </w:r>
    </w:p>
    <w:p>
      <w:pPr>
        <w:spacing w:after="120"/>
      </w:pPr>
      <w:r>
        <w:rPr>
          <w:b/>
          <w:bCs/>
        </w:rPr>
        <w:t xml:space="preserve">Attribute indicators </w:t>
      </w:r>
      <w:r>
        <w:t xml:space="preserve">are holistic scene properties not reducible to a single object. Examples: limited counter space, poor ventilation, warm lighting, cluttered layout, open floor plan. These may require grounding via language-guided segmentation (Stage 4) or may remain ungrounded and instead be approximated by computed scene features from Stage 2.</w:t>
      </w:r>
    </w:p>
    <w:p>
      <w:pPr>
        <w:spacing w:after="120"/>
      </w:pPr>
      <w:r>
        <w:t xml:space="preserve">A canonical indicator vocabulary should be constructed iteratively: after running the VLM on a pilot set of 500 images, cluster the free-text indicator names by semantic similarity (using sentence-transformer embeddings and agglomerative clustering), manually merge synonyms, and produce a controlled vocabulary. This vocabulary is then enforced in subsequent VLM prompts by including the indicator list in the prompt and instructing the VLM to select from it when possible.</w:t>
      </w:r>
    </w:p>
    <w:p>
      <w:pPr>
        <w:pStyle w:val="Heading1"/>
      </w:pPr>
      <w:r>
        <w:t xml:space="preserve">6. Stage 4 — Indicator Grounding</w:t>
      </w:r>
    </w:p>
    <w:p>
      <w:pPr>
        <w:pStyle w:val="Heading2"/>
      </w:pPr>
      <w:r>
        <w:t xml:space="preserve">6.1 Purpose</w:t>
      </w:r>
    </w:p>
    <w:p>
      <w:pPr>
        <w:spacing w:after="120"/>
      </w:pPr>
      <w:r>
        <w:t xml:space="preserve">Indicator grounding associates each VLM-generated indicator concept with a spatial region in the image, expressed as a segmentation mask. Grounded indicators enable two capabilities: (a) visual provenance—one can overlay the mask on the image to show which region drove the affordance judgement—and (b) feature extraction from the indicator region (e.g., computing the area of “counter space” to produce a continuous feature rather than a binary presence flag).</w:t>
      </w:r>
    </w:p>
    <w:p>
      <w:pPr>
        <w:pStyle w:val="Heading2"/>
      </w:pPr>
      <w:r>
        <w:t xml:space="preserve">6.2 Grounding Strategy A: Direct Mask Lookup</w:t>
      </w:r>
    </w:p>
    <w:p>
      <w:pPr>
        <w:spacing w:after="120"/>
      </w:pPr>
      <w:r>
        <w:t xml:space="preserve">When the VLM’s indicator name matches (after vocabulary alignment) a class label from the Stage 1 segmentation, the indicator is grounded by direct lookup. For example, if the indicator is “stove” and Mask2Former detected an “oven” mask, the vocabulary mapping stove → oven resolves the link. The grounded indicator record is then: indicator_name = stove, mask_id = &lt;the oven mask’s object_id&gt;, grounding_method = direct_lookup, grounding_confidence = &lt;the segmentation confidence&gt;.</w:t>
      </w:r>
    </w:p>
    <w:p>
      <w:pPr>
        <w:pStyle w:val="Heading2"/>
      </w:pPr>
      <w:r>
        <w:t xml:space="preserve">6.3 Grounding Strategy B: Language-Guided Segmentation (LISA)</w:t>
      </w:r>
    </w:p>
    <w:p>
      <w:pPr>
        <w:spacing w:after="120"/>
      </w:pPr>
      <w:r>
        <w:t xml:space="preserve">For attribute indicators and for object indicators that were not detected by Mask2Former, a language-guided segmentation model is used. The recommended model is LISA-13B (Lai et al., 2024), a reasoning segmentation model that accepts a natural-language description and produces a binary mask. Example queries: Segment the area of counter space available for food preparation; Segment the region that gives the impression of warm lighting; Segment the open floor area.</w:t>
      </w:r>
    </w:p>
    <w:p>
      <w:pPr>
        <w:spacing w:after="120"/>
      </w:pPr>
      <w:r>
        <w:rPr>
          <w:b/>
          <w:bCs/>
        </w:rPr>
        <w:t xml:space="preserve">Input: </w:t>
      </w:r>
      <w:r>
        <w:t xml:space="preserve">Image + textual description of the indicator.</w:t>
      </w:r>
    </w:p>
    <w:p>
      <w:pPr>
        <w:spacing w:after="120"/>
      </w:pPr>
      <w:r>
        <w:rPr>
          <w:b/>
          <w:bCs/>
        </w:rPr>
        <w:t xml:space="preserve">Output: </w:t>
      </w:r>
      <w:r>
        <w:t xml:space="preserve">Binary mask + confidence score.</w:t>
      </w:r>
    </w:p>
    <w:p>
      <w:pPr>
        <w:spacing w:after="120"/>
      </w:pPr>
      <w:r>
        <w:rPr>
          <w:b/>
          <w:bCs/>
        </w:rPr>
        <w:t xml:space="preserve">Fallback: </w:t>
      </w:r>
      <w:r>
        <w:t xml:space="preserve">If LISA fails to produce a valid mask (confidence below 0.3 or mask area below 0.1% of image), the indicator is recorded as ungrounded (mask = null). Ungrounded indicators can still serve as binary features in the distilled models; they simply lack spatial provenance.</w:t>
      </w:r>
    </w:p>
    <w:p>
      <w:pPr>
        <w:pStyle w:val="Heading2"/>
      </w:pPr>
      <w:r>
        <w:t xml:space="preserve">6.4 Grounding Record Schema</w:t>
      </w:r>
    </w:p>
    <w:p>
      <w:pPr>
        <w:spacing w:after="120"/>
      </w:pPr>
      <w:r>
        <w:t xml:space="preserve">Each grounded indicator is stored as a structured record with the following fields: indicator_id (unique), indicator_name (from the controlled vocabulary), indicator_type (object or attribute), polarity (positive or negative), strength (low, medium, high), grounding_method (direct_lookup, lisa, or ungrounded), mask_id (foreign key to the segmentation mask, or null), grounding_confidence (float), and rationale (the VLM’s one-sentence justification).</w:t>
      </w:r>
    </w:p>
    <w:p>
      <w:pPr>
        <w:pStyle w:val="Heading1"/>
      </w:pPr>
      <w:r>
        <w:t xml:space="preserve">7. Stage 5 — Structured Dataset Assembly</w:t>
      </w:r>
    </w:p>
    <w:p>
      <w:pPr>
        <w:pStyle w:val="Heading2"/>
      </w:pPr>
      <w:r>
        <w:t xml:space="preserve">7.1 Record Schema</w:t>
      </w:r>
    </w:p>
    <w:p>
      <w:pPr>
        <w:spacing w:after="120"/>
      </w:pPr>
      <w:r>
        <w:t xml:space="preserve">Each image in the final dataset is represented as a single JSON record (or equivalent tabular row set) with the following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image_id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Unique image identifier (Hypersim scene + camera + frame)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image_path</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str</w:t>
            </w:r>
          </w:p>
        </w:tc>
        <w:tc>
          <w:tcPr>
            <w:tcW w:type="dxa" w:w="4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Path to the RGB image file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room_type_pred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Predicted room type(s) from the coarse classifier</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building_type_pred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str</w:t>
            </w:r>
          </w:p>
        </w:tc>
        <w:tc>
          <w:tcPr>
            <w:tcW w:type="dxa" w:w="4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Predicted building typology</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objects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list[ObjectRecord]</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detected objects with masks, boxes, areas, centroids</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scene_features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dict</w:t>
            </w:r>
          </w:p>
        </w:tc>
        <w:tc>
          <w:tcPr>
            <w:tcW w:type="dxa" w:w="4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All geometric/topological features from Stage 2</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affordances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list[AffordanceRecord]</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One record per evaluated affordance (see below)</w:t>
            </w:r>
          </w:p>
        </w:tc>
      </w:tr>
    </w:tbl>
    <w:p>
      <w:pPr>
        <w:spacing w:after="80"/>
      </w:pPr>
    </w:p>
    <w:p>
      <w:pPr>
        <w:spacing w:after="120"/>
      </w:pPr>
      <w:r>
        <w:t xml:space="preserve">Each AffordanceRecord contains: affordance_id (str, e.g., L079), affordance_name (str), family (str), vlm_score (int, 1–7), indicators (list of grounded indicator records), and evaluation_metadata (VLM model name, prompt version, timestamp, token count).</w:t>
      </w:r>
    </w:p>
    <w:p>
      <w:pPr>
        <w:pStyle w:val="Heading2"/>
      </w:pPr>
      <w:r>
        <w:t xml:space="preserve">7.2 Dataset Statistics Target</w:t>
      </w:r>
    </w:p>
    <w:p>
      <w:pPr>
        <w:spacing w:after="120"/>
      </w:pPr>
      <w:r>
        <w:t xml:space="preserve">The target dataset size is determined by the requirement to train reliable distilled models across 130 affordances. A conservative estimate, based on the rule of thumb of at least 10 observations per predictor per class level for gradient-boosted trees (Boulesteix et al., 2012), suggests a minimum of approximately 5,000 images evaluated across all relevant affordances, yielding on the order of 50,000–75,000 image–affordance records (given an average of 10–15 affordances evaluated per image). The Hypersim dataset provides approximately 77,000 images across 461 scenes, so a sampled subset of 5,000–8,000 images (stratified by room type to ensure coverage) is sufficient.</w:t>
      </w:r>
    </w:p>
    <w:p>
      <w:pPr>
        <w:pStyle w:val="Heading2"/>
      </w:pPr>
      <w:r>
        <w:t xml:space="preserve">7.3 Storage Format</w:t>
      </w:r>
    </w:p>
    <w:p>
      <w:pPr>
        <w:spacing w:after="120"/>
      </w:pPr>
      <w:r>
        <w:t xml:space="preserve">The dataset is stored in two coordinated formats: (a) a Parquet file containing the tabular features (object presence vectors, scene features, affordance scores, indicator polarities) for efficient columnar access during model training; and (b) a set of COCO-format JSON files storing the full mask annotations and indicator grounding records for spatial analyses. All masks are stored as run-length-encoded (RLE) binary strings following the COCO convention.</w:t>
      </w:r>
    </w:p>
    <w:p>
      <w:pPr>
        <w:pStyle w:val="Heading2"/>
      </w:pPr>
      <w:r>
        <w:t xml:space="preserve">7.4 Quality Assurance</w:t>
      </w:r>
    </w:p>
    <w:p>
      <w:pPr>
        <w:spacing w:after="120"/>
      </w:pPr>
      <w:r>
        <w:t xml:space="preserve">A human validation pass is conducted on a stratified random sample of 500 image–affordance records (approximately 1% of the dataset). Two trained annotators independently rate each image on the same 1–7 affordance scale and flag any VLM indicators they consider hallucinated (i.e., not supported by visual evidence). Inter-rater reliability is assessed via intra-class correlation (ICC(2,1)). The VLM’s scores are compared against the human mean using Pearson r and mean absolute error (MAE). Acceptable thresholds: ICC &gt; 0.70 (good agreement); Pearson r &gt; 0.75; MAE &lt; 1.0 scale point. If these thresholds are not met for a given affordance, the prompt is revised and the VLM is re-run on that affordance.</w:t>
      </w:r>
    </w:p>
    <w:p>
      <w:pPr>
        <w:pStyle w:val="Heading1"/>
      </w:pPr>
      <w:r>
        <w:t xml:space="preserve">8. Stage 6 — Distilled Affordance Modeling</w:t>
      </w:r>
    </w:p>
    <w:p>
      <w:pPr>
        <w:pStyle w:val="Heading2"/>
      </w:pPr>
      <w:r>
        <w:t xml:space="preserve">8.1 Design Philosophy</w:t>
      </w:r>
    </w:p>
    <w:p>
      <w:pPr>
        <w:spacing w:after="120"/>
      </w:pPr>
      <w:r>
        <w:t xml:space="preserve">The distilled models are lightweight surrogates that approximate the VLM’s affordance judgements using only features computable from the segmentation output (i.e., without re-running the VLM at inference time). The distillation framing follows the teacher–student paradigm introduced by Hinton et al. (2015), adapted here from classification soft-labels to regression targets.</w:t>
      </w:r>
    </w:p>
    <w:p>
      <w:pPr>
        <w:pStyle w:val="Heading2"/>
      </w:pPr>
      <w:r>
        <w:t xml:space="preserve">8.2 Model A — Image-Only Baseline (CNN)</w:t>
      </w:r>
    </w:p>
    <w:p>
      <w:pPr>
        <w:spacing w:after="120"/>
      </w:pPr>
      <w:r>
        <w:rPr>
          <w:b/>
          <w:bCs/>
        </w:rPr>
        <w:t xml:space="preserve">Architecture: </w:t>
      </w:r>
      <w:r>
        <w:t xml:space="preserve">ResNet-50 (He et al., 2016) pre-trained on ImageNet, with the classification head replaced by a single linear layer producing a scalar output per affordance. A multi-task variant with a shared backbone and 130 parallel heads is also tested.</w:t>
      </w:r>
    </w:p>
    <w:p>
      <w:pPr>
        <w:spacing w:after="120"/>
      </w:pPr>
      <w:r>
        <w:rPr>
          <w:b/>
          <w:bCs/>
        </w:rPr>
        <w:t xml:space="preserve">Training: </w:t>
      </w:r>
      <w:r>
        <w:t xml:space="preserve">Mean squared error (MSE) loss against VLM scores. AdamW optimiser, learning rate 1e-4 with cosine decay, batch size 64, 50 epochs. Standard augmentation: random crop, horizontal flip, colour jitter.</w:t>
      </w:r>
    </w:p>
    <w:p>
      <w:pPr>
        <w:spacing w:after="120"/>
      </w:pPr>
      <w:r>
        <w:rPr>
          <w:b/>
          <w:bCs/>
        </w:rPr>
        <w:t xml:space="preserve">Purpose: </w:t>
      </w:r>
      <w:r>
        <w:t xml:space="preserve">This model establishes the baseline for what can be predicted from raw pixels alone, without structured spatial reasoning. It is expected to perform reasonably on affordances that are strongly cued by scene-level appearance (e.g., Sleep in a bedroom) but poorly on affordances that depend on fine-grained spatial relations (e.g., Cook (Daily) requiring a work triangle).</w:t>
      </w:r>
    </w:p>
    <w:p>
      <w:pPr>
        <w:pStyle w:val="Heading2"/>
      </w:pPr>
      <w:r>
        <w:t xml:space="preserve">8.3 Model B — Structured Feature Model (Gradient Boosting)</w:t>
      </w:r>
    </w:p>
    <w:p>
      <w:pPr>
        <w:spacing w:after="120"/>
      </w:pPr>
      <w:r>
        <w:rPr>
          <w:b/>
          <w:bCs/>
        </w:rPr>
        <w:t xml:space="preserve">Features: </w:t>
      </w:r>
      <w:r>
        <w:t xml:space="preserve">The input feature vector comprises three groups: (a) object presence vector (binary, 133 COCO classes + any taxonomy-specific classes detected by Grounding DINO); (b) object count vector (integer counts per class); (c) scene features from Stage 2 (areas, distances, ratios, clutter index, free-floor fraction, zone counts). Total dimensionality is approximately 300–400 features.</w:t>
      </w:r>
    </w:p>
    <w:p>
      <w:pPr>
        <w:spacing w:after="120"/>
      </w:pPr>
      <w:r>
        <w:rPr>
          <w:b/>
          <w:bCs/>
        </w:rPr>
        <w:t xml:space="preserve">Algorithm: </w:t>
      </w:r>
      <w:r>
        <w:t xml:space="preserve">LightGBM (Ke et al., 2017) gradient-boosted decision trees. LightGBM is preferred over XGBoost for its superior handling of high-cardinality categorical features and faster training with histogram-based splitting.</w:t>
      </w:r>
    </w:p>
    <w:p>
      <w:pPr>
        <w:spacing w:after="120"/>
      </w:pPr>
      <w:r>
        <w:rPr>
          <w:b/>
          <w:bCs/>
        </w:rPr>
        <w:t xml:space="preserve">Hyperparameter search: </w:t>
      </w:r>
      <w:r>
        <w:t xml:space="preserve">Optuna (Akiba et al., 2019) Bayesian optimisation over: num_leaves (31–255), max_depth (5–15), learning_rate (0.01–0.3), n_estimators (100–2000), min_child_samples (5–50), subsample (0.6–1.0), colsample_bytree (0.5–1.0), reg_alpha (0–10), reg_lambda (0–10). 100 trials with 5-fold cross-validation. Evaluation metric: RMSE.</w:t>
      </w:r>
    </w:p>
    <w:p>
      <w:pPr>
        <w:spacing w:after="120"/>
      </w:pPr>
      <w:r>
        <w:rPr>
          <w:b/>
          <w:bCs/>
        </w:rPr>
        <w:t xml:space="preserve">Missing values: </w:t>
      </w:r>
      <w:r>
        <w:t xml:space="preserve">LightGBM handles NaN natively by learning optimal split directions for missing values, so no imputation is needed.</w:t>
      </w:r>
    </w:p>
    <w:p>
      <w:pPr>
        <w:spacing w:after="120"/>
      </w:pPr>
      <w:r>
        <w:rPr>
          <w:b/>
          <w:bCs/>
        </w:rPr>
        <w:t xml:space="preserve">Purpose: </w:t>
      </w:r>
      <w:r>
        <w:t xml:space="preserve">This model tests the hypothesis that structured spatial features computed from segmentation alone can approximate VLM-level affordance reasoning. It is the primary candidate for deployment because it is interpretable (via SHAP values) and extremely fast (~5 ms per image on CPU).</w:t>
      </w:r>
    </w:p>
    <w:p>
      <w:pPr>
        <w:pStyle w:val="Heading2"/>
      </w:pPr>
      <w:r>
        <w:t xml:space="preserve">8.4 Model C — Scene Graph Model (GNN)</w:t>
      </w:r>
    </w:p>
    <w:p>
      <w:pPr>
        <w:spacing w:after="120"/>
      </w:pPr>
      <w:r>
        <w:rPr>
          <w:b/>
          <w:bCs/>
        </w:rPr>
        <w:t xml:space="preserve">Graph construction: </w:t>
      </w:r>
      <w:r>
        <w:t xml:space="preserve">Nodes represent detected objects; node features are [class_embedding, area_frac, centroid_x, centroid_y, aspect_ratio]. Edges connect all pairs of objects within a distance threshold (e.g., 0.3 of image diagonal); edge features are [distance, angular_bearing, IoU, min_contour_distance]. The graph is directed (edges point from the nearer to the farther object by y-coordinate, capturing above/below relationships).</w:t>
      </w:r>
    </w:p>
    <w:p>
      <w:pPr>
        <w:spacing w:after="120"/>
      </w:pPr>
      <w:r>
        <w:rPr>
          <w:b/>
          <w:bCs/>
        </w:rPr>
        <w:t xml:space="preserve">Architecture: </w:t>
      </w:r>
      <w:r>
        <w:t xml:space="preserve">A 3-layer Graph Attention Network v2 (GATv2; Brody et al., 2022) with 128 hidden units per layer, followed by a global mean-pooling readout and a 2-layer MLP producing a scalar affordance score. Multi-head attention (4 heads) is used. Edge features are injected via the attention mechanism following the approach of Corso et al. (2020).</w:t>
      </w:r>
    </w:p>
    <w:p>
      <w:pPr>
        <w:spacing w:after="120"/>
      </w:pPr>
      <w:r>
        <w:rPr>
          <w:b/>
          <w:bCs/>
        </w:rPr>
        <w:t xml:space="preserve">Training: </w:t>
      </w:r>
      <w:r>
        <w:t xml:space="preserve">MSE loss, AdamW optimiser, learning rate 5e-4, cosine schedule, batch size 32, 100 epochs. Graph-level dropout 0.1, edge dropout 0.1.</w:t>
      </w:r>
    </w:p>
    <w:p>
      <w:pPr>
        <w:spacing w:after="120"/>
      </w:pPr>
      <w:r>
        <w:rPr>
          <w:b/>
          <w:bCs/>
        </w:rPr>
        <w:t xml:space="preserve">Purpose: </w:t>
      </w:r>
      <w:r>
        <w:t xml:space="preserve">This model captures relational layout reasoning (e.g., the work triangle) in a more expressive representation than flat tabular features. It tests whether graph-structured inductive biases improve affordance prediction over Model B. Computational cost is moderate (~20 ms per image on GPU).</w:t>
      </w:r>
    </w:p>
    <w:p>
      <w:pPr>
        <w:pStyle w:val="Heading2"/>
      </w:pPr>
      <w:r>
        <w:t xml:space="preserve">8.5 Model D — Indicator-Distilled Model</w:t>
      </w:r>
    </w:p>
    <w:p>
      <w:pPr>
        <w:spacing w:after="120"/>
      </w:pPr>
      <w:r>
        <w:rPr>
          <w:b/>
          <w:bCs/>
        </w:rPr>
        <w:t xml:space="preserve">Features: </w:t>
      </w:r>
      <w:r>
        <w:t xml:space="preserve">All features from Model B, augmented with binary indicator-polarity features derived from the VLM’s indicators. For each canonical indicator in the controlled vocabulary, two binary features are created: indicator_positive (1 if the VLM flagged this indicator as positive for this affordance, 0 otherwise) and indicator_negative (analogous). This yields approximately 200–400 additional features.</w:t>
      </w:r>
    </w:p>
    <w:p>
      <w:pPr>
        <w:spacing w:after="120"/>
      </w:pPr>
      <w:r>
        <w:rPr>
          <w:b/>
          <w:bCs/>
        </w:rPr>
        <w:t xml:space="preserve">Algorithm: </w:t>
      </w:r>
      <w:r>
        <w:t xml:space="preserve">LightGBM, same hyperparameter search as Model B.</w:t>
      </w:r>
    </w:p>
    <w:p>
      <w:pPr>
        <w:spacing w:after="120"/>
      </w:pPr>
      <w:r>
        <w:rPr>
          <w:b/>
          <w:bCs/>
        </w:rPr>
        <w:t xml:space="preserve">Purpose: </w:t>
      </w:r>
      <w:r>
        <w:t xml:space="preserve">This model tests the hypothesis that the VLM’s symbolic reasoning (expressed as indicator polarities) can be directly encoded as features for a lightweight model. It represents the maximum information transfer from teacher to student. At deployment, the indicator features would need to be predicted by a secondary model (e.g., a multi-label classifier on the object presence vector), creating a two-stage distilled pipeline. The feasibility of this secondary prediction is itself an empirical question addressed in the evaluation.</w:t>
      </w:r>
    </w:p>
    <w:p>
      <w:pPr>
        <w:pStyle w:val="Heading2"/>
      </w:pPr>
      <w:r>
        <w:t xml:space="preserve">8.6 Model E — Multi-Task Shared-Backbone Model</w:t>
      </w:r>
    </w:p>
    <w:p>
      <w:pPr>
        <w:spacing w:after="120"/>
      </w:pPr>
      <w:r>
        <w:rPr>
          <w:b/>
          <w:bCs/>
        </w:rPr>
        <w:t xml:space="preserve">Architecture: </w:t>
      </w:r>
      <w:r>
        <w:t xml:space="preserve">A single LightGBM or neural-network model that predicts all 130 affordances jointly, with shared lower layers and affordance-specific output heads. For the neural variant: a 3-layer MLP with 512-256-128 units, ReLU activations, batch normalisation, and 130 parallel output heads each producing a scalar score.</w:t>
      </w:r>
    </w:p>
    <w:p>
      <w:pPr>
        <w:spacing w:after="120"/>
      </w:pPr>
      <w:r>
        <w:rPr>
          <w:b/>
          <w:bCs/>
        </w:rPr>
        <w:t xml:space="preserve">Training: </w:t>
      </w:r>
      <w:r>
        <w:t xml:space="preserve">Multi-task MSE loss (sum of per-affordance MSE, weighted inversely by affordance variance to prevent high-variance affordances from dominating). Curriculum learning: train first on Tier 1 affordances for 30 epochs, then add Tier 2 for another 20 epochs.</w:t>
      </w:r>
    </w:p>
    <w:p>
      <w:pPr>
        <w:spacing w:after="120"/>
      </w:pPr>
      <w:r>
        <w:rPr>
          <w:b/>
          <w:bCs/>
        </w:rPr>
        <w:t xml:space="preserve">Purpose: </w:t>
      </w:r>
      <w:r>
        <w:t xml:space="preserve">Multi-task learning may improve predictions for rare or data-sparse affordances by transferring knowledge from related affordances within the same family (e.g., learning that Cook (Daily) and Meal Prep share similar spatial requirements).</w:t>
      </w:r>
    </w:p>
    <w:p>
      <w:pPr>
        <w:pStyle w:val="Heading1"/>
      </w:pPr>
      <w:r>
        <w:t xml:space="preserve">9. Evaluation Experiments</w:t>
      </w:r>
    </w:p>
    <w:p>
      <w:pPr>
        <w:pStyle w:val="Heading2"/>
      </w:pPr>
      <w:r>
        <w:t xml:space="preserve">9.1 Data Splits</w:t>
      </w:r>
    </w:p>
    <w:p>
      <w:pPr>
        <w:spacing w:after="120"/>
      </w:pPr>
      <w:r>
        <w:t xml:space="preserve">The dataset is split at the scene level (not the image level) to prevent data leakage from multiple camera views of the same scene appearing in both training and test sets. The split is 70% train, 10% validation, 20% test. Stratification is by room type to ensure adequate representation of minority room types (e.g., religious halls, therapy rooms). Within each split, affordance-level stratification is also applied to ensure that the score distribution for each affordance is approximately preserved across splits.</w:t>
      </w:r>
    </w:p>
    <w:p>
      <w:pPr>
        <w:pStyle w:val="Heading2"/>
      </w:pPr>
      <w:r>
        <w:t xml:space="preserve">9.2 Experiment 1: Prediction Accuracy</w:t>
      </w:r>
    </w:p>
    <w:p>
      <w:pPr>
        <w:spacing w:after="120"/>
      </w:pPr>
      <w:r>
        <w:t xml:space="preserve">For each model (A through E) and each affordance, compute: root-mean-squared error (RMSE), mean absolute error (MAE), Pearson correlation (r), and Spearman rank correlation (ρ) against VLM scores on the test set. Aggregate across affordances by: macro-average (unweighted mean across affordances); family-weighted average (mean within each family, then mean across families); and per-tier averages (Tier 1 versus Tier 2 separately). Statistical significance of model differences is assessed via paired t-tests (across images) with Bonferroni correction for multiple comparisons.</w:t>
      </w:r>
    </w:p>
    <w:p>
      <w:pPr>
        <w:spacing w:after="120"/>
      </w:pPr>
      <w:r>
        <w:t xml:space="preserve">A secondary analysis computes the same metrics against the human validation ratings (available for the 500-image QA subset) to assess absolute accuracy rather than merely agreement with the VLM teacher.</w:t>
      </w:r>
    </w:p>
    <w:p>
      <w:pPr>
        <w:pStyle w:val="Heading2"/>
      </w:pPr>
      <w:r>
        <w:t xml:space="preserve">9.3 Experiment 2: Computational Efficiency</w:t>
      </w:r>
    </w:p>
    <w:p>
      <w:pPr>
        <w:spacing w:after="120"/>
      </w:pPr>
      <w:r>
        <w:t xml:space="preserve">Measure wall-clock inference time per image for each pipeline configuration on standardised hardware (single A100 GPU for neural models, single CPU core for LightGBM). Report the full pipeline time from raw image to affordance score vector, including segmentation (Mask2Former), feature extraction, and model inference. The target is to demonstrate that the distilled pipeline achieves at least 100× speedup over the VLM pipeline while retaining at least 90% of the VLM’s correlation with human judgements.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c>
          <w:tcPr>
            <w:tcW w:type="dxa" w:w="30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Pipeline Component</w:t>
            </w:r>
          </w:p>
        </w:tc>
        <w:tc>
          <w:tcPr>
            <w:tcW w:type="dxa" w:w="20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Expected Time</w:t>
            </w:r>
          </w:p>
        </w:tc>
        <w:tc>
          <w:tcPr>
            <w:tcW w:type="dxa" w:w="22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Hardware</w:t>
            </w:r>
          </w:p>
        </w:tc>
        <w:tc>
          <w:tcPr>
            <w:tcW w:type="dxa" w:w="21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VLM (Qwen2-VL-72B)</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~2–3 s/image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4×A100</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Teacher; offline only</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Mask2Former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~80 ms/image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1×A100</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Amortised across all affordances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Feature extraction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 ms/image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CPU</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Numpy/SciPy vector ops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LightGBM (Model B)</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 ms/image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CPU</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130 affordances, batch</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GNN (Model C)</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 ms/image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1×A100</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130 affordances, batch</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Full distilled pipeline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~100 ms/image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1×A100+CPU</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End to end</w:t>
            </w:r>
          </w:p>
        </w:tc>
      </w:tr>
    </w:tbl>
    <w:p>
      <w:pPr>
        <w:spacing w:after="80"/>
      </w:pPr>
    </w:p>
    <w:p>
      <w:pPr>
        <w:pStyle w:val="Heading2"/>
      </w:pPr>
      <w:r>
        <w:t xml:space="preserve">9.4 Experiment 3: Indicator Discovery Analysis</w:t>
      </w:r>
    </w:p>
    <w:p>
      <w:pPr>
        <w:spacing w:after="120"/>
      </w:pPr>
      <w:r>
        <w:t xml:space="preserve">This analysis transforms the VLM’s indicator outputs into a scientific contribution by characterising the structure of affordance–indicator relationships across indoor scenes.</w:t>
      </w:r>
    </w:p>
    <w:p>
      <w:pPr>
        <w:pStyle w:val="ListParagraph"/>
        <w:numPr>
          <w:ilvl w:val="0"/>
          <w:numId w:val="2"/>
        </w:numPr>
        <w:spacing w:after="60"/>
      </w:pPr>
      <w:r>
        <w:t xml:space="preserve">Indicator frequency: For each canonical indicator, compute its frequency across all images and across images within each room type. Identify which indicators are universal (high frequency across room types) versus room-specific.</w:t>
      </w:r>
    </w:p>
    <w:p>
      <w:pPr>
        <w:pStyle w:val="ListParagraph"/>
        <w:numPr>
          <w:ilvl w:val="0"/>
          <w:numId w:val="2"/>
        </w:numPr>
        <w:spacing w:after="60"/>
      </w:pPr>
      <w:r>
        <w:t xml:space="preserve">Indicator predictive power: For each affordance, compute the point-biserial correlation between each binary indicator presence and the affordance score. Rank indicators by predictive power. This analysis reveals which visual cues most strongly determine affordance suitability, providing empirical content to the Gibsonian question of what information specifies an affordance.</w:t>
      </w:r>
    </w:p>
    <w:p>
      <w:pPr>
        <w:pStyle w:val="ListParagraph"/>
        <w:numPr>
          <w:ilvl w:val="0"/>
          <w:numId w:val="2"/>
        </w:numPr>
        <w:spacing w:after="60"/>
      </w:pPr>
      <w:r>
        <w:t xml:space="preserve">Indicator co-occurrence: Compute pairwise phi coefficients among indicators. Cluster the resulting matrix (using hierarchical clustering with Ward linkage) to discover indicator syndromes—sets of indicators that co-occur and jointly characterise affordance-relevant scene configurations.</w:t>
      </w:r>
    </w:p>
    <w:p>
      <w:pPr>
        <w:pStyle w:val="ListParagraph"/>
        <w:numPr>
          <w:ilvl w:val="0"/>
          <w:numId w:val="2"/>
        </w:numPr>
        <w:spacing w:after="60"/>
      </w:pPr>
      <w:r>
        <w:t xml:space="preserve">SHAP analysis: For Model B, compute SHAP (Shapley Additive Explanations; Lundberg &amp; Lee, 2017) values for all features across test-set images. Produce per-affordance SHAP summary plots showing the top-10 most influential features. Compare the SHAP-derived feature importance ranking against the VLM’s indicator frequency ranking to assess whether the distilled model has learned to rely on the same cues identified by the VLM’s explicit reasoning.</w:t>
      </w:r>
    </w:p>
    <w:p>
      <w:pPr>
        <w:pStyle w:val="Heading2"/>
      </w:pPr>
      <w:r>
        <w:t xml:space="preserve">9.5 Experiment 4: Generalisation to Real Images</w:t>
      </w:r>
    </w:p>
    <w:p>
      <w:pPr>
        <w:spacing w:after="120"/>
      </w:pPr>
      <w:r>
        <w:t xml:space="preserve">Evaluate all distilled models on a held-out set of real photographs (drawn from SUN RGB-D or Matterport3D) that were not used during training. Since these images lack VLM-generated affordance scores (the ground truth used for Hypersim), human ratings are collected for a sample of 300 real images across 20 representative affordances. The primary metric is the correlation between the distilled model’s predictions and the human ratings. This experiment quantifies the synthetic-to-real domain gap.</w:t>
      </w:r>
    </w:p>
    <w:p>
      <w:pPr>
        <w:spacing w:after="120"/>
      </w:pPr>
      <w:r>
        <w:t xml:space="preserve">If the domain gap is substantial (correlation drop &gt; 0.15), the following mitigation strategies are applied: (a) domain-adaptive fine-tuning of Mask2Former on a small set of annotated real images; (b) feature-space domain adaptation using Maximum Mean Discrepancy (MMD) regularisation (Gretton et al., 2012) in Model E’s neural variant; and (c) mixed training with a small proportion (10–20%) of VLM-annotated real images added to the Hypersim training set.</w:t>
      </w:r>
    </w:p>
    <w:p>
      <w:pPr>
        <w:pStyle w:val="Heading2"/>
      </w:pPr>
      <w:r>
        <w:t xml:space="preserve">9.6 Experiment 5: Ablation Studies</w:t>
      </w:r>
    </w:p>
    <w:p>
      <w:pPr>
        <w:spacing w:after="120"/>
      </w:pPr>
      <w:r>
        <w:t xml:space="preserve">The following ablation studies isolate the contribution of each pipeline component.</w:t>
      </w:r>
    </w:p>
    <w:p>
      <w:pPr>
        <w:pStyle w:val="ListParagraph"/>
        <w:numPr>
          <w:ilvl w:val="0"/>
          <w:numId w:val="2"/>
        </w:numPr>
        <w:spacing w:after="60"/>
      </w:pPr>
      <w:r>
        <w:t xml:space="preserve">Segmentation source ablation: Compare affordance accuracy when using Hypersim ground-truth masks versus Mask2Former predictions, quantifying the cost of segmentation error.</w:t>
      </w:r>
    </w:p>
    <w:p>
      <w:pPr>
        <w:pStyle w:val="ListParagraph"/>
        <w:numPr>
          <w:ilvl w:val="0"/>
          <w:numId w:val="2"/>
        </w:numPr>
        <w:spacing w:after="60"/>
      </w:pPr>
      <w:r>
        <w:t xml:space="preserve">Feature group ablation: Train Model B with progressively removed feature groups (object presence only; object presence + counts; all features). Quantify the marginal value of pairwise spatial features and zone features.</w:t>
      </w:r>
    </w:p>
    <w:p>
      <w:pPr>
        <w:pStyle w:val="ListParagraph"/>
        <w:numPr>
          <w:ilvl w:val="0"/>
          <w:numId w:val="2"/>
        </w:numPr>
        <w:spacing w:after="60"/>
      </w:pPr>
      <w:r>
        <w:t xml:space="preserve">VLM model ablation: Compare indicator quality and downstream affordance accuracy when using Qwen2-VL-72B versus Qwen2-VL-7B versus InternVL2.5-78B as the teacher.</w:t>
      </w:r>
    </w:p>
    <w:p>
      <w:pPr>
        <w:pStyle w:val="ListParagraph"/>
        <w:numPr>
          <w:ilvl w:val="0"/>
          <w:numId w:val="2"/>
        </w:numPr>
        <w:spacing w:after="60"/>
      </w:pPr>
      <w:r>
        <w:t xml:space="preserve">Prompt ablation: Compare few-shot (3 exemplars) versus zero-shot prompting; compare structured JSON output enforcement versus free-text output with post-hoc parsing.</w:t>
      </w:r>
    </w:p>
    <w:p>
      <w:pPr>
        <w:pStyle w:val="ListParagraph"/>
        <w:numPr>
          <w:ilvl w:val="0"/>
          <w:numId w:val="2"/>
        </w:numPr>
        <w:spacing w:after="60"/>
      </w:pPr>
      <w:r>
        <w:t xml:space="preserve">Indicator vocabulary size ablation: Vary the granularity of the controlled indicator vocabulary (50, 100, 200, 400 canonical indicators) and measure the impact on Model D’s accuracy.</w:t>
      </w:r>
    </w:p>
    <w:p>
      <w:pPr>
        <w:pStyle w:val="Heading1"/>
      </w:pPr>
      <w:r>
        <w:t xml:space="preserve">10. Deployment Architecture</w:t>
      </w:r>
    </w:p>
    <w:p>
      <w:pPr>
        <w:pStyle w:val="Heading2"/>
      </w:pPr>
      <w:r>
        <w:t xml:space="preserve">10.1 Production Pipeline</w:t>
      </w:r>
    </w:p>
    <w:p>
      <w:pPr>
        <w:spacing w:after="120"/>
      </w:pPr>
      <w:r>
        <w:t xml:space="preserve">The final production pipeline operates without any VLM at inference time. The sequence is as follows: (1) an input image is received by the Ingestion layer; (2) Mask2Former produces panoptic segmentation masks; (3) the Feature Extraction module computes the full geometric feature vector from the masks; (4) the trained LightGBM model (Model B or, if superior, Model E) produces calibrated affordance scores for all 130 affordances; (5) the Provenance module attaches feature-importance explanations (top-5 SHAP features per affordance) as the provenance record; (6) the BN Interface exports the scores and provenance as Attribute Frame slots with BN Export Hooks.</w:t>
      </w:r>
    </w:p>
    <w:p>
      <w:pPr>
        <w:pStyle w:val="Heading2"/>
      </w:pPr>
      <w:r>
        <w:t xml:space="preserve">10.2 Calibration</w:t>
      </w:r>
    </w:p>
    <w:p>
      <w:pPr>
        <w:spacing w:after="120"/>
      </w:pPr>
      <w:r>
        <w:t xml:space="preserve">The raw model outputs (regression scores on the 1–7 scale) must be calibrated so that the scores correspond to well-calibrated probability-like quantities suitable for Bayesian network consumption. Calibration is performed via isotonic regression (Niculescu-Mizil &amp; Caruana, 2005) fitted on the validation set, mapping raw model scores to the empirical distribution of VLM scores. A separate calibration function is fitted per affordance.</w:t>
      </w:r>
    </w:p>
    <w:p>
      <w:pPr>
        <w:pStyle w:val="Heading2"/>
      </w:pPr>
      <w:r>
        <w:t xml:space="preserve">10.3 Model Versioning and Retraining</w:t>
      </w:r>
    </w:p>
    <w:p>
      <w:pPr>
        <w:spacing w:after="120"/>
      </w:pPr>
      <w:r>
        <w:t xml:space="preserve">The entire pipeline is version-controlled under DVC (Data Version Control). Each model artifact (trained LightGBM pickle, GNN checkpoint, calibration functions) is stored with a hash-linked reference to its training data version, hyperparameter configuration, and evaluation metrics. Retraining is triggered when: (a) the image corpus is expanded by more than 20%; (b) the taxonomy is revised (new affordances added); or (c) monitoring detects distribution drift in the feature space of incoming production images.</w:t>
      </w:r>
    </w:p>
    <w:p>
      <w:pPr>
        <w:pStyle w:val="Heading1"/>
      </w:pPr>
      <w:r>
        <w:t xml:space="preserve">11. Timeline and Resource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1500"/>
        <w:gridCol w:w="1500"/>
        <w:gridCol w:w="1500"/>
      </w:tblGrid>
      <w:tr>
        <w:tc>
          <w:tcPr>
            <w:tcW w:type="dxa" w:w="8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0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Tasks</w:t>
            </w:r>
          </w:p>
        </w:tc>
        <w:tc>
          <w:tcPr>
            <w:tcW w:type="dxa" w:w="1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GPU Hours</w:t>
            </w:r>
          </w:p>
        </w:tc>
        <w:tc>
          <w:tcPr>
            <w:tcW w:type="dxa" w:w="1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Personnel</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Environment setup; Hypersim download; Mask2Former inference on full corpus; class vocabulary alignment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ML engineer</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Feature extraction pipeline; functional zone detection; feature validation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 ML engineer</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VLM prompt development; pilot on 500 images; indicator vocabulary construction; human QA design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ML eng + 1 RA</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Full VLM inference on 5,000–8,000 images; indicator grounding (LISA); dataset assembly</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 weeks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2,000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 ML engineer</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Human validation (500 records × 2 raters); QA analysis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research assistants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Distilled model training (Models A–E); hyperparameter search; evaluation experiments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 weeks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500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 ML engineer</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Generalisation experiments; ablation studies; SHAP analysis; reporting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ML eng + 1 PI</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Production integration; calibration; BN interface; documentation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50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 ML engineer</w:t>
            </w:r>
          </w:p>
        </w:tc>
      </w:tr>
    </w:tbl>
    <w:p>
      <w:pPr>
        <w:spacing w:after="80"/>
      </w:pPr>
    </w:p>
    <w:p>
      <w:pPr>
        <w:spacing w:after="120"/>
      </w:pPr>
      <w:r>
        <w:rPr>
          <w:b/>
          <w:bCs/>
        </w:rPr>
        <w:t xml:space="preserve">Total estimated duration: </w:t>
      </w:r>
      <w:r>
        <w:t xml:space="preserve">23 weeks (~6 months).</w:t>
      </w:r>
    </w:p>
    <w:p>
      <w:pPr>
        <w:spacing w:after="120"/>
      </w:pPr>
      <w:r>
        <w:rPr>
          <w:b/>
          <w:bCs/>
        </w:rPr>
        <w:t xml:space="preserve">Total estimated GPU hours: </w:t>
      </w:r>
      <w:r>
        <w:t xml:space="preserve">~3,400 A100-equivalent hours.</w:t>
      </w:r>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22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1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VLM hallucination of indicators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Human QA validation; prompt engineering with grounding constraints; confidence thresholds</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Synthetic-to-real domain gap</w:t>
            </w:r>
          </w:p>
        </w:tc>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Mixed training; domain adaptation; real-image validation set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Affordance score miscalibration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Isotonic regression calibration; per-affordance calibration curves</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Insufficient training data for rare affordances</w:t>
            </w:r>
          </w:p>
        </w:tc>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Multi-task learning (Model E); data augmentation; active learning to sample rare room types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Segmentation error cascading to features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Ablation study; robust feature design; ensemble over multiple segmentation thresholds</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Compute budget overrun on VLM inference</w:t>
            </w:r>
          </w:p>
        </w:tc>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Batch strategy; coarse room-type filtering; 7B fallback model</w:t>
            </w:r>
          </w:p>
        </w:tc>
      </w:tr>
    </w:tbl>
    <w:p>
      <w:pPr>
        <w:spacing w:after="80"/>
      </w:pPr>
    </w:p>
    <w:p>
      <w:pPr>
        <w:pStyle w:val="Heading1"/>
      </w:pPr>
      <w:r>
        <w:t xml:space="preserve">13. References</w:t>
      </w:r>
    </w:p>
    <w:p>
      <w:pPr>
        <w:spacing w:after="120"/>
      </w:pPr>
      <w:r>
        <w:t xml:space="preserve">Akiba, T., Sano, S., Yanase, T., Ohta, T., &amp; Koyama, M. (2019). Optuna: A next-generation hyperparameter optimization framework. Proceedings of the 25th ACM SIGKDD International Conference on Knowledge Discovery and Data Mining, 2623–2631. https://doi.org/10.1145/3292500.3330701</w:t>
      </w:r>
    </w:p>
    <w:p>
      <w:pPr>
        <w:spacing w:after="120"/>
      </w:pPr>
      <w:r>
        <w:t xml:space="preserve">Bai, J., Bai, S., Yang, S., Wang, S., Tan, S., Wang, P., Lin, J., Zhou, C., &amp; Zhou, J. (2023). Qwen-VL: A versatile vision-language model for understanding, localization, text reading, and beyond. arXiv preprint arXiv:2308.12966. https://doi.org/10.48550/arXiv.2308.12966</w:t>
      </w:r>
    </w:p>
    <w:p>
      <w:pPr>
        <w:spacing w:after="120"/>
      </w:pPr>
      <w:r>
        <w:t xml:space="preserve">Barker, R. G. (1968). Ecological psychology: Concepts and methods for studying the environment of human behavior. Stanford University Press.</w:t>
      </w:r>
    </w:p>
    <w:p>
      <w:pPr>
        <w:spacing w:after="120"/>
      </w:pPr>
      <w:r>
        <w:t xml:space="preserve">Boulesteix, A.-L., Janitza, S., Kruppa, J., &amp; König, I. R. (2012). Overview of random forest methodology and practical guidance with emphasis on computational biology and bioinformatics. Wiley Interdisciplinary Reviews: Data Mining and Knowledge Discovery, 2(6), 493–507. https://doi.org/10.1002/widm.1072</w:t>
      </w:r>
    </w:p>
    <w:p>
      <w:pPr>
        <w:spacing w:after="120"/>
      </w:pPr>
      <w:r>
        <w:t xml:space="preserve">Brody, S., Alon, U., &amp; Yahav, E. (2022). How attentive are graph attention networks? Proceedings of the 10th International Conference on Learning Representations (ICLR). https://doi.org/10.48550/arXiv.2105.14491</w:t>
      </w:r>
    </w:p>
    <w:p>
      <w:pPr>
        <w:spacing w:after="120"/>
      </w:pPr>
      <w:r>
        <w:t xml:space="preserve">Chen, Z., Wu, J., Wang, W., Su, W., Chen, G., Xing, S., Zhong, M., Zhang, Q., Zhu, X., Lu, L., Li, B., Luo, P., Lu, T., Qiao, Y., &amp; Dai, J. (2024). InternVL: Scaling up vision foundation models and aligning for generic visual-linguistic tasks. Proceedings of the IEEE/CVF Conference on Computer Vision and Pattern Recognition (CVPR), 24185–24198. https://doi.org/10.1109/CVPR52733.2024.02284</w:t>
      </w:r>
    </w:p>
    <w:p>
      <w:pPr>
        <w:spacing w:after="120"/>
      </w:pPr>
      <w:r>
        <w:t xml:space="preserve">Cheng, B., Misra, I., Schwing, A. G., Kirillov, A., &amp; Goel, R. (2022). Masked-attention mask transformer for universal image segmentation. Proceedings of the IEEE/CVF Conference on Computer Vision and Pattern Recognition (CVPR), 1290–1299. https://doi.org/10.1109/CVPR52688.2022.00135</w:t>
      </w:r>
    </w:p>
    <w:p>
      <w:pPr>
        <w:spacing w:after="120"/>
      </w:pPr>
      <w:r>
        <w:t xml:space="preserve">Corso, G., Cavalleri, L., Beaini, D., Liò, P., &amp; Veličković, P. (2020). Principal neighbourhood aggregation for graph nets. Advances in Neural Information Processing Systems, 33, 13260–13271. https://doi.org/10.48550/arXiv.2004.05718</w:t>
      </w:r>
    </w:p>
    <w:p>
      <w:pPr>
        <w:spacing w:after="120"/>
      </w:pPr>
      <w:r>
        <w:t xml:space="preserve">Gibson, J. J. (1979). The ecological approach to visual perception. Houghton Mifflin.</w:t>
      </w:r>
    </w:p>
    <w:p>
      <w:pPr>
        <w:spacing w:after="120"/>
      </w:pPr>
      <w:r>
        <w:t xml:space="preserve">Gretton, A., Borgwardt, K. M., Rasch, M. J., Schölkopf, B., &amp; Smola, A. (2012). A kernel two-sample test. Journal of Machine Learning Research, 13, 723–773.</w:t>
      </w:r>
    </w:p>
    <w:p>
      <w:pPr>
        <w:spacing w:after="120"/>
      </w:pPr>
      <w:r>
        <w:t xml:space="preserve">He, K., Zhang, X., Ren, S., &amp; Sun, J. (2016). Deep residual learning for image recognition. Proceedings of the IEEE Conference on Computer Vision and Pattern Recognition (CVPR), 770–778. https://doi.org/10.1109/CVPR.2016.90</w:t>
      </w:r>
    </w:p>
    <w:p>
      <w:pPr>
        <w:spacing w:after="120"/>
      </w:pPr>
      <w:r>
        <w:t xml:space="preserve">Hillier, B., &amp; Hanson, J. (1984). The social logic of space. Cambridge University Press. https://doi.org/10.1017/CBO9780511597237</w:t>
      </w:r>
    </w:p>
    <w:p>
      <w:pPr>
        <w:spacing w:after="120"/>
      </w:pPr>
      <w:r>
        <w:t xml:space="preserve">Hinton, G., Vinyals, O., &amp; Dean, J. (2015). Distilling the knowledge in a neural network. arXiv preprint arXiv:1503.02531. https://doi.org/10.48550/arXiv.1503.02531</w:t>
      </w:r>
    </w:p>
    <w:p>
      <w:pPr>
        <w:spacing w:after="120"/>
      </w:pPr>
      <w:r>
        <w:t xml:space="preserve">Ke, G., Meng, Q., Finley, T., Wang, T., Chen, W., Ma, W., Ye, Q., &amp; Liu, T.-Y. (2017). LightGBM: A highly efficient gradient boosting decision tree. Advances in Neural Information Processing Systems, 30, 3146–3154. https://doi.org/10.5555/3294996.3295074</w:t>
      </w:r>
    </w:p>
    <w:p>
      <w:pPr>
        <w:spacing w:after="120"/>
      </w:pPr>
      <w:r>
        <w:t xml:space="preserve">Lai, X., Tian, Z., Chen, Y., Li, Y., Yuan, Y., Liu, S., &amp; Jia, J. (2024). LISA: Reasoning segmentation via large language model. Proceedings of the IEEE/CVF Conference on Computer Vision and Pattern Recognition (CVPR), 9579–9589. https://doi.org/10.1109/CVPR52733.2024.00915</w:t>
      </w:r>
    </w:p>
    <w:p>
      <w:pPr>
        <w:spacing w:after="120"/>
      </w:pPr>
      <w:r>
        <w:t xml:space="preserve">Liu, S., Zeng, Z., Ren, T., Li, F., Zhang, H., Yang, J., Li, C., Yang, J., Su, H., Zhu, J., &amp; Zhang, L. (2023). Grounding DINO: Marrying DINO with grounded pre-training for open-set object detection. arXiv preprint arXiv:2303.05499. https://doi.org/10.48550/arXiv.2303.05499</w:t>
      </w:r>
    </w:p>
    <w:p>
      <w:pPr>
        <w:spacing w:after="120"/>
      </w:pPr>
      <w:r>
        <w:t xml:space="preserve">Lundberg, S. M., &amp; Lee, S.-I. (2017). A unified approach to interpreting model predictions. Advances in Neural Information Processing Systems, 30, 4765–4774. https://doi.org/10.5555/3295222.3295230</w:t>
      </w:r>
    </w:p>
    <w:p>
      <w:pPr>
        <w:spacing w:after="120"/>
      </w:pPr>
      <w:r>
        <w:t xml:space="preserve">Niculescu-Mizil, A., &amp; Caruana, R. (2005). Predicting good probabilities with supervised learning. Proceedings of the 22nd International Conference on Machine Learning (ICML), 625–632. https://doi.org/10.1145/1102351.1102430</w:t>
      </w:r>
    </w:p>
    <w:p>
      <w:pPr>
        <w:spacing w:after="120"/>
      </w:pPr>
      <w:r>
        <w:t xml:space="preserve">Ravi, N., Gabeur, V., Hu, Y.-T., Hu, R., Ryali, C., Ma, T., Khedr, H., Rädle, R., Rolber, C., Gustafson, L., Mintun, E., Pan, J., Alwala, K. V., Carion, N., Wu, C.-Y., Girshick, R., Dollár, P., &amp; Feichtenhofer, C. (2024). SAM 2: Segment anything in images and videos. arXiv preprint arXiv:2408.00714. https://doi.org/10.48550/arXiv.2408.00714</w:t>
      </w:r>
    </w:p>
    <w:p>
      <w:pPr>
        <w:spacing w:after="120"/>
      </w:pPr>
      <w:r>
        <w:t xml:space="preserve">Roberts, M., Ramapuram, J., Rber, A., Prabhu, A., Kannan, A., &amp; Susskind, J. (2021). Hypersim: A photorealistic synthetic dataset for holistic indoor scene understanding. Proceedings of the IEEE/CVF International Conference on Computer Vision (ICCV), 10912–10922. https://doi.org/10.1109/ICCV48922.2021.01073</w:t>
      </w:r>
    </w:p>
    <w:p>
      <w:pPr>
        <w:spacing w:after="120"/>
      </w:pPr>
      <w:r>
        <w:t xml:space="preserve">Tremblay, J., Prakash, A., Acuna, D., Brober, M., Jampani, V., Anil, C., To, T., Cameracci, E., Boochoon, S., &amp; Birchfield, S. (2018). Training deep networks with synthetic data: Bridging the reality gap by domain randomization. Proceedings of the IEEE Conference on Computer Vision and Pattern Recognition Workshops, 969–977. https://doi.org/10.1109/CVPRW.2018.00143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Affordance Prediction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6F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2026-03-10T22:19:25.832Z</dcterms:created>
  <dcterms:modified xsi:type="dcterms:W3CDTF">2026-03-10T22:19:25.833Z</dcterms:modified>
</cp:coreProperties>
</file>

<file path=docProps/custom.xml><?xml version="1.0" encoding="utf-8"?>
<Properties xmlns="http://schemas.openxmlformats.org/officeDocument/2006/custom-properties" xmlns:vt="http://schemas.openxmlformats.org/officeDocument/2006/docPropsVTypes"/>
</file>