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b/>
          <w:bCs/>
          <w:color w:val="1B3A5C"/>
          <w:sz w:val="44"/>
          <w:szCs w:val="44"/>
        </w:rPr>
        <w:t xml:space="preserve">Affordance Prediction from Indoor Scenes</w:t>
      </w:r>
    </w:p>
    <w:p>
      <w:pPr>
        <w:spacing w:after="400"/>
        <w:jc w:val="center"/>
      </w:pPr>
      <w:r>
        <w:rPr>
          <w:b/>
          <w:bCs/>
          <w:color w:val="2B579A"/>
          <w:sz w:val="36"/>
          <w:szCs w:val="36"/>
        </w:rPr>
        <w:t xml:space="preserve">Two-Phase Execution Plan</w:t>
      </w:r>
    </w:p>
    <w:p>
      <w:pPr>
        <w:spacing w:after="80"/>
      </w:pPr>
    </w:p>
    <w:p>
      <w:pPr>
        <w:spacing w:after="80"/>
        <w:jc w:val="center"/>
      </w:pPr>
      <w:r>
        <w:rPr>
          <w:color w:val="555555"/>
          <w:sz w:val="26"/>
          <w:szCs w:val="26"/>
        </w:rPr>
        <w:t xml:space="preserve">Phase 1: Pilot Study for COGS 185 Final Project</w:t>
      </w:r>
    </w:p>
    <w:p>
      <w:pPr>
        <w:spacing w:after="80"/>
        <w:jc w:val="center"/>
      </w:pPr>
      <w:r>
        <w:rPr>
          <w:color w:val="555555"/>
          <w:sz w:val="26"/>
          <w:szCs w:val="26"/>
        </w:rPr>
        <w:t xml:space="preserve">Phase 2: Full Methodology Completion</w:t>
      </w:r>
    </w:p>
    <w:p>
      <w:pPr>
        <w:spacing w:after="80"/>
      </w:pPr>
    </w:p>
    <w:p>
      <w:pPr>
        <w:spacing w:after="80"/>
      </w:pPr>
    </w:p>
    <w:p>
      <w:pPr>
        <w:spacing w:after="80"/>
      </w:pPr>
    </w:p>
    <w:p>
      <w:pPr>
        <w:spacing w:after="80"/>
      </w:pPr>
    </w:p>
    <w:p>
      <w:pPr>
        <w:spacing w:after="80"/>
      </w:pPr>
    </w:p>
    <w:p>
      <w:pPr>
        <w:spacing w:after="80"/>
        <w:jc w:val="center"/>
      </w:pPr>
      <w:r>
        <w:rPr>
          <w:color w:val="777777"/>
          <w:sz w:val="22"/>
          <w:szCs w:val="22"/>
        </w:rPr>
        <w:t xml:space="preserve">UCSD COGS 185 — Advanced Machine Learning Methods — Winter 2026</w:t>
      </w:r>
    </w:p>
    <w:p>
      <w:pPr>
        <w:spacing w:after="80"/>
        <w:jc w:val="center"/>
      </w:pPr>
      <w:r>
        <w:rPr>
          <w:b/>
          <w:bCs/>
          <w:color w:val="C0392B"/>
          <w:sz w:val="22"/>
          <w:szCs w:val="22"/>
        </w:rPr>
        <w:t xml:space="preserve">Phase 1 Deadline: March 13, 2026</w:t>
      </w:r>
    </w:p>
    <w:p>
      <w:pPr>
        <w:jc w:val="center"/>
      </w:pPr>
      <w:r>
        <w:rPr>
          <w:color w:val="777777"/>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0. Overview: Rationale for a Two-Phase Design</w:t>
      </w:r>
    </w:p>
    <w:p>
      <w:pPr>
        <w:spacing w:after="120"/>
      </w:pPr>
      <w:r>
        <w:t xml:space="preserve">The full project methodology (documented in the companion plan) comprises eight stages spanning approximately six months of work. The COGS 185 final project deadline of March 13, 2026 permits at most two and a half weeks of execution. The solution is to carve a self-contained pilot study that instantiates every stage of the full pipeline at reduced scale, producing a complete empirical paper that satisfies the course rubric, while simultaneously generating reusable infrastructure (code, prompts, evaluation protocols, and preliminary data) that Phase 2 inherits without duplication of effort.</w:t>
      </w:r>
    </w:p>
    <w:p>
      <w:pPr>
        <w:spacing w:after="120"/>
      </w:pPr>
      <w:r>
        <w:t xml:space="preserve">The two phases are related as a telescope is related to its component lenses: Phase 1 establishes the optical axis—the end-to-end path from image to distilled affordance score—while Phase 2 widens the aperture to the full affordance taxonomy, the full image corpus, and the full battery of distilled models and evaluation experiments. Nothing built in Phase 1 is discarded; everything is extended.</w:t>
      </w:r>
    </w:p>
    <w:p>
      <w:pPr>
        <w:pStyle w:val="Heading1"/>
      </w:pPr>
      <w:r>
        <w:t xml:space="preserve">Phase 1: Pilot Study (COGS 185 Final Project)</w:t>
      </w:r>
    </w:p>
    <w:p>
      <w:pPr>
        <w:pStyle w:val="Heading2"/>
      </w:pPr>
      <w:r>
        <w:t xml:space="preserve">1.1 Constraints and Design Targets</w:t>
      </w:r>
    </w:p>
    <w:p>
      <w:pPr>
        <w:spacing w:after="120"/>
      </w:pPr>
      <w:r>
        <w:t xml:space="preserve">The course rubric awards points across five dimensions: interestingness of the problem (10 pts), dataset challenge and scale (10 pts), novelty in algorithm, data, or application (20 pts), comprehensiveness of experimental design and hyperparameter tuning (30 pts), and professional report quality (30 pts). An optional bonus-points section and a 3–5 minute video presentation are also available. The minimum word count for a single-student project is 1,500 words; the report should follow a NeurIPS/ICML/ICLR template.</w:t>
      </w:r>
    </w:p>
    <w:p>
      <w:pPr>
        <w:spacing w:after="120"/>
      </w:pPr>
      <w:r>
        <w:t xml:space="preserve">These constraints dictate the following design targets for the pilot. The problem must be framed so that the novelty is self-evident to reviewers who may not be domain experts in environmental psychology: the framing should emphasise knowledge distillation from a VLM to a lightweight model, which is a recognisable and currently active research question in the ML community (Gou et al., 2021). The dataset must be non-trivial (Hypersim satisfies this). The experiments must include systematic variation of architectures and hyperparameters, not merely a single training run. The report must contain all required sections. The bonus-points section should highlight the novelty of the affordance-indicator distillation idea and the custom dataset.</w:t>
      </w:r>
    </w:p>
    <w:p>
      <w:pPr>
        <w:pStyle w:val="Heading2"/>
      </w:pPr>
      <w:r>
        <w:t xml:space="preserve">1.2 Scope Reduction Decisions</w:t>
      </w:r>
    </w:p>
    <w:p>
      <w:pPr>
        <w:spacing w:after="120"/>
      </w:pPr>
      <w:r>
        <w:rPr>
          <w:b/>
          <w:bCs/>
        </w:rPr>
        <w:t xml:space="preserve">Affordances: </w:t>
      </w:r>
      <w:r>
        <w:t xml:space="preserve">Reduce from 130 to 5 carefully selected affordances, one per family, chosen to maximise diversity of visual cues and to ensure that at least some images in the Hypersim subset are clearly suitable and clearly unsuitable for each affordance. The recommended five are:</w:t>
      </w:r>
    </w:p>
    <w:p>
      <w:pPr>
        <w:pStyle w:val="ListParagraph"/>
        <w:numPr>
          <w:ilvl w:val="0"/>
          <w:numId w:val="2"/>
        </w:numPr>
        <w:spacing w:after="60"/>
      </w:pPr>
      <w:r>
        <w:rPr>
          <w:b/>
          <w:bCs/>
        </w:rPr>
        <w:t xml:space="preserve">L079 Cook (Daily)</w:t>
      </w:r>
      <w:r>
        <w:t xml:space="preserve"> (Food &amp; Drink) — depends on kitchen appliances and work-triangle geometry.</w:t>
      </w:r>
    </w:p>
    <w:p>
      <w:pPr>
        <w:pStyle w:val="ListParagraph"/>
        <w:numPr>
          <w:ilvl w:val="0"/>
          <w:numId w:val="2"/>
        </w:numPr>
        <w:spacing w:after="60"/>
      </w:pPr>
      <w:r>
        <w:rPr>
          <w:b/>
          <w:bCs/>
        </w:rPr>
        <w:t xml:space="preserve">L059 Sleep (Primary)</w:t>
      </w:r>
      <w:r>
        <w:t xml:space="preserve"> (Rest &amp; Recovery) — depends on bed presence and enclosure cues.</w:t>
      </w:r>
    </w:p>
    <w:p>
      <w:pPr>
        <w:pStyle w:val="ListParagraph"/>
        <w:numPr>
          <w:ilvl w:val="0"/>
          <w:numId w:val="2"/>
        </w:numPr>
        <w:spacing w:after="60"/>
      </w:pPr>
      <w:r>
        <w:rPr>
          <w:b/>
          <w:bCs/>
        </w:rPr>
        <w:t xml:space="preserve">L091 Computer Work (Solo)</w:t>
      </w:r>
      <w:r>
        <w:t xml:space="preserve"> (Focused Knowledge Work) — depends on desk, chair, monitor, and visual privacy.</w:t>
      </w:r>
    </w:p>
    <w:p>
      <w:pPr>
        <w:pStyle w:val="ListParagraph"/>
        <w:numPr>
          <w:ilvl w:val="0"/>
          <w:numId w:val="2"/>
        </w:numPr>
        <w:spacing w:after="60"/>
      </w:pPr>
      <w:r>
        <w:rPr>
          <w:b/>
          <w:bCs/>
        </w:rPr>
        <w:t xml:space="preserve">L130 Casual Conversation / Hangout</w:t>
      </w:r>
      <w:r>
        <w:t xml:space="preserve"> (Leisure &amp; Entertainment) — depends on sociopetal seating arrangements.</w:t>
      </w:r>
    </w:p>
    <w:p>
      <w:pPr>
        <w:pStyle w:val="ListParagraph"/>
        <w:numPr>
          <w:ilvl w:val="0"/>
          <w:numId w:val="2"/>
        </w:numPr>
        <w:spacing w:after="60"/>
      </w:pPr>
      <w:r>
        <w:rPr>
          <w:b/>
          <w:bCs/>
        </w:rPr>
        <w:t xml:space="preserve">L141 Yoga / Stretching</w:t>
      </w:r>
      <w:r>
        <w:t xml:space="preserve"> (Movement &amp; Fitness) — depends on open floor area and floor surface.</w:t>
      </w:r>
    </w:p>
    <w:p>
      <w:pPr>
        <w:spacing w:after="120"/>
      </w:pPr>
      <w:r>
        <w:rPr>
          <w:b/>
          <w:bCs/>
        </w:rPr>
        <w:t xml:space="preserve">Images: </w:t>
      </w:r>
      <w:r>
        <w:t xml:space="preserve">Use a stratified sample of 300 Hypersim images (approximately 60 per target room-type cluster). This is small enough to complete VLM annotation within the time budget yet large enough for meaningful cross-validated model comparisons.</w:t>
      </w:r>
    </w:p>
    <w:p>
      <w:pPr>
        <w:spacing w:after="120"/>
      </w:pPr>
      <w:r>
        <w:rPr>
          <w:b/>
          <w:bCs/>
        </w:rPr>
        <w:t xml:space="preserve">VLM teacher: </w:t>
      </w:r>
      <w:r>
        <w:t xml:space="preserve">Use Qwen2-VL-7B-Instruct rather than the 72B variant. The 7B model runs on a single GPU (e.g., a free-tier Colab A100 or a department-allocated GPU), produces adequate reasoning for a pilot, and allows the entire 300-image × 5-affordance annotation run (1,500 VLM calls) to complete in approximately 4–6 hours.</w:t>
      </w:r>
    </w:p>
    <w:p>
      <w:pPr>
        <w:spacing w:after="120"/>
      </w:pPr>
      <w:r>
        <w:rPr>
          <w:b/>
          <w:bCs/>
        </w:rPr>
        <w:t xml:space="preserve">Distilled models: </w:t>
      </w:r>
      <w:r>
        <w:t xml:space="preserve">Train three of the five proposed model variants: Model A (CNN baseline), Model B (LightGBM on structured features), and Model D (LightGBM with indicator-polarity features). Models C (GNN) and E (multi-task) are deferred to Phase 2.</w:t>
      </w:r>
    </w:p>
    <w:p>
      <w:pPr>
        <w:spacing w:after="120"/>
      </w:pPr>
      <w:r>
        <w:rPr>
          <w:b/>
          <w:bCs/>
        </w:rPr>
        <w:t xml:space="preserve">Indicator grounding: </w:t>
      </w:r>
      <w:r>
        <w:t xml:space="preserve">Perform direct-lookup grounding only (Strategy A). LISA-based grounding (Strategy B) is deferred to Phase 2.</w:t>
      </w:r>
    </w:p>
    <w:p>
      <w:pPr>
        <w:spacing w:after="120"/>
      </w:pPr>
      <w:r>
        <w:rPr>
          <w:b/>
          <w:bCs/>
        </w:rPr>
        <w:t xml:space="preserve">Generalisation to real images: </w:t>
      </w:r>
      <w:r>
        <w:t xml:space="preserve">Deferred entirely to Phase 2. The pilot evaluates only on held-out Hypersim images.</w:t>
      </w:r>
    </w:p>
    <w:p>
      <w:pPr>
        <w:pStyle w:val="Heading2"/>
      </w:pPr>
      <w:r>
        <w:t xml:space="preserve">1.3 Mapping to the Course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Rubric Criterion</w:t>
            </w:r>
          </w:p>
        </w:tc>
        <w:tc>
          <w:tcPr>
            <w:tcW w:type="dxa" w:w="10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Points</w:t>
            </w:r>
          </w:p>
        </w:tc>
        <w:tc>
          <w:tcPr>
            <w:tcW w:type="dxa" w:w="556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How the Pilot Addresses It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Interestingness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Affordance prediction from images bridges ecological psychology and modern ML. VLM-to-lightweight distillation is a timely problem. The custom affordance taxonomy grounds the work in a concrete scientific application.</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Dataset challenge/scale</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10</w:t>
            </w:r>
          </w:p>
        </w:tc>
        <w:tc>
          <w:tcPr>
            <w:tcW w:type="dxa" w:w="5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Hypersim is a large-scale photorealistic indoor dataset (77K images). Even the 300-image pilot subset, combined with the VLM-generated affordance labels and structured indicator annotations, constitutes a novel, non-trivial derived dataset that does not exist elsewhere.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Novelty</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Three sources of novelty: (1) the affordance-indicator distillation framework itself; (2) the custom structured dataset with VLM-generated indicator provenance; (3) the comparative analysis of which feature representations best capture spatial affordance reasoning. The Bonus Points section will argue for all three.</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Experimental comprehensiveness</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30</w:t>
            </w:r>
          </w:p>
        </w:tc>
        <w:tc>
          <w:tcPr>
            <w:tcW w:type="dxa" w:w="5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Systematic variation across: 3 model architectures (CNN, LightGBM, indicator-distilled LightGBM); 2 feature representations (raw image vs. structured features); LightGBM hyperparameter sweeps via Optuna (100 trials, 5-fold CV); CNN learning rate / architecture ablation (ResNet-18 vs. ResNet-50); plus per-affordance and cross-affordance accuracy breakdowns. Section 1.6 details the full experiment matrix.</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Report quality</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30</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NeurIPS format; all required sections; figures for training curves, SHAP plots, indicator frequency charts, and confusion-style error-distribution plots. Professional scientific prose throughout.</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Bonus</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c>
          <w:tcPr>
            <w:tcW w:type="dxa" w:w="5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Bonus section will argue: novel application domain (environment–cognition affordances), custom VLM-derived dataset, and the indicator-distillation idea as a new form of structured knowledge distillation.</w:t>
            </w:r>
          </w:p>
        </w:tc>
      </w:tr>
    </w:tbl>
    <w:p>
      <w:pPr>
        <w:spacing w:after="80"/>
      </w:pPr>
    </w:p>
    <w:p>
      <w:pPr>
        <w:pStyle w:val="Heading2"/>
      </w:pPr>
      <w:r>
        <w:t xml:space="preserve">1.4 Day-by-Day Execution Schedule</w:t>
      </w:r>
    </w:p>
    <w:p>
      <w:pPr>
        <w:spacing w:after="120"/>
      </w:pPr>
      <w:r>
        <w:t xml:space="preserve">The schedule assumes work begins immediately and targets submission by 11:59 PM on March 13, 2026. All dates are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560"/>
      </w:tblGrid>
      <w:tr>
        <w:tc>
          <w:tcPr>
            <w:tcW w:type="dxa" w:w="13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Day</w:t>
            </w:r>
          </w:p>
        </w:tc>
        <w:tc>
          <w:tcPr>
            <w:tcW w:type="dxa" w:w="15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656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Tasks and Deliverables</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Day 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 10 (Tue)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Download Hypersim subset (select 300 images stratified by room type); set up project repository; install Mask2Former and Qwen2-VL-7B; write COCO-vocabulary-to-taxonomy class mapping table; run Mask2Former on all 300 images and store masks.</w:t>
            </w:r>
          </w:p>
        </w:tc>
      </w:tr>
      <w:tr>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Day 2</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Mar 11 (Wed)</w:t>
            </w:r>
          </w:p>
        </w:tc>
        <w:tc>
          <w:tcPr>
            <w:tcW w:type="dxa" w:w="6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Implement and run the full feature-extraction pipeline (Stage 2) on all 300 images: object-level geometry, pairwise spatial relations, room-level aggregates. Store as Parquet. Begin VLM prompt engineering: write and test prompts for all 5 affordances on a 10-image pilot batch; iterate on JSON output format; fix parsing edge cases.</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Day 3</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 12 (Thu)</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Run full VLM annotation: 300 images × 5 affordances = 1,500 calls (≈4–6 hrs on single GPU). During VLM run, in parallel: implement indicator-vocabulary clustering on pilot batch; implement direct-lookup grounding (Strategy A); begin coding Model A (ResNet-50 baseline) and Model B (LightGBM) training scripts. Assemble the structured dataset (Stage 5). Begin training Model A and Model B. Run Optuna hyperparameter search for LightGBM (100 trials, 5-fold CV). Train Model D once indicator features are assembled.</w:t>
            </w:r>
          </w:p>
        </w:tc>
      </w:tr>
      <w:tr>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Day 4</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Mar 13 (Fri)</w:t>
            </w:r>
          </w:p>
        </w:tc>
        <w:tc>
          <w:tcPr>
            <w:tcW w:type="dxa" w:w="6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Morning: complete all training runs; compute evaluation metrics (RMSE, MAE, Pearson r, Spearman ρ) for all models on test split. Generate SHAP plots for Model B. Generate indicator-frequency and co-occurrence analyses. Afternoon: write the full report in NeurIPS format (≥2,000 words to have margin). Create figures and tables. Write the Bonus Points section. Evening: final proofread; package code; submit by 11:59 PM.</w:t>
            </w:r>
          </w:p>
        </w:tc>
      </w:tr>
    </w:tbl>
    <w:p>
      <w:pPr>
        <w:spacing w:after="80"/>
      </w:pPr>
    </w:p>
    <w:p>
      <w:pPr>
        <w:spacing w:after="120"/>
      </w:pPr>
      <w:r>
        <w:t xml:space="preserve">This schedule is aggressive but feasible because the pipeline is modular: the VLM annotation runs unattended as a batch job, the feature extraction is pure NumPy/SciPy and completes in minutes, and the LightGBM training (even with 100 Optuna trials on 300 images) takes under 10 minutes.</w:t>
      </w:r>
    </w:p>
    <w:p>
      <w:pPr>
        <w:pStyle w:val="Heading2"/>
      </w:pPr>
      <w:r>
        <w:t xml:space="preserve">1.5 Technical Specifications for Phase 1</w:t>
      </w:r>
    </w:p>
    <w:p>
      <w:pPr>
        <w:pStyle w:val="Heading3"/>
      </w:pPr>
      <w:r>
        <w:t xml:space="preserve">1.5.1 Scene Decomposition (Stage 1, Reduced)</w:t>
      </w:r>
    </w:p>
    <w:p>
      <w:pPr>
        <w:spacing w:after="120"/>
      </w:pPr>
      <w:r>
        <w:rPr>
          <w:b/>
          <w:bCs/>
        </w:rPr>
        <w:t xml:space="preserve">Model: </w:t>
      </w:r>
      <w:r>
        <w:t xml:space="preserve">Mask2Former (Swin-L, COCO panoptic) via HuggingFace Transformers.</w:t>
      </w:r>
    </w:p>
    <w:p>
      <w:pPr>
        <w:spacing w:after="120"/>
      </w:pPr>
      <w:r>
        <w:rPr>
          <w:b/>
          <w:bCs/>
        </w:rPr>
        <w:t xml:space="preserve">Input: </w:t>
      </w:r>
      <w:r>
        <w:t xml:space="preserve">300 Hypersim images, resized to 1024×1024 with padding.</w:t>
      </w:r>
    </w:p>
    <w:p>
      <w:pPr>
        <w:spacing w:after="120"/>
      </w:pPr>
      <w:r>
        <w:rPr>
          <w:b/>
          <w:bCs/>
        </w:rPr>
        <w:t xml:space="preserve">Vocabulary mapping: </w:t>
      </w:r>
      <w:r>
        <w:t xml:space="preserve">A hand-crafted JSON lookup table mapping COCO’s 133 class labels to the taxonomy’s signature artefacts (e.g., oven → stove, couch → sofa). Approximately 40 mappings are needed for the 5-affordance subset; unmapped COCO classes are retained with their original labels.</w:t>
      </w:r>
    </w:p>
    <w:p>
      <w:pPr>
        <w:spacing w:after="120"/>
      </w:pPr>
      <w:r>
        <w:rPr>
          <w:b/>
          <w:bCs/>
        </w:rPr>
        <w:t xml:space="preserve">Hypersim ground truth: </w:t>
      </w:r>
      <w:r>
        <w:t xml:space="preserve">Also extract and store the Hypersim-provided semantic labels for ablation comparison (test with ground-truth masks vs. predicted masks).</w:t>
      </w:r>
    </w:p>
    <w:p>
      <w:pPr>
        <w:pStyle w:val="Heading3"/>
      </w:pPr>
      <w:r>
        <w:t xml:space="preserve">1.5.2 Feature Extraction (Stage 2, Reduced)</w:t>
      </w:r>
    </w:p>
    <w:p>
      <w:pPr>
        <w:spacing w:after="120"/>
      </w:pPr>
      <w:r>
        <w:t xml:space="preserve">Compute the following feature groups, which are sufficient for the five pilot affordances:</w:t>
      </w:r>
    </w:p>
    <w:p>
      <w:pPr>
        <w:pStyle w:val="ListParagraph"/>
        <w:numPr>
          <w:ilvl w:val="0"/>
          <w:numId w:val="2"/>
        </w:numPr>
        <w:spacing w:after="60"/>
      </w:pPr>
      <w:r>
        <w:rPr>
          <w:b/>
          <w:bCs/>
        </w:rPr>
        <w:t xml:space="preserve">Object presence vector </w:t>
      </w:r>
      <w:r>
        <w:t xml:space="preserve">(binary, ~133 dims): does this image contain a stove? a bed? a desk? etc.</w:t>
      </w:r>
    </w:p>
    <w:p>
      <w:pPr>
        <w:pStyle w:val="ListParagraph"/>
        <w:numPr>
          <w:ilvl w:val="0"/>
          <w:numId w:val="2"/>
        </w:numPr>
        <w:spacing w:after="60"/>
      </w:pPr>
      <w:r>
        <w:rPr>
          <w:b/>
          <w:bCs/>
        </w:rPr>
        <w:t xml:space="preserve">Object count vector </w:t>
      </w:r>
      <w:r>
        <w:t xml:space="preserve">(integer counts per class).</w:t>
      </w:r>
    </w:p>
    <w:p>
      <w:pPr>
        <w:pStyle w:val="ListParagraph"/>
        <w:numPr>
          <w:ilvl w:val="0"/>
          <w:numId w:val="2"/>
        </w:numPr>
        <w:spacing w:after="60"/>
      </w:pPr>
      <w:r>
        <w:rPr>
          <w:b/>
          <w:bCs/>
        </w:rPr>
        <w:t xml:space="preserve">Key pairwise distances </w:t>
      </w:r>
      <w:r>
        <w:t xml:space="preserve">(centroid Euclidean distance, normalised): stove–counter, stove–sink, desk–chair, sofa–sofa (for conversation geometry).</w:t>
      </w:r>
    </w:p>
    <w:p>
      <w:pPr>
        <w:pStyle w:val="ListParagraph"/>
        <w:numPr>
          <w:ilvl w:val="0"/>
          <w:numId w:val="2"/>
        </w:numPr>
        <w:spacing w:after="60"/>
      </w:pPr>
      <w:r>
        <w:rPr>
          <w:b/>
          <w:bCs/>
        </w:rPr>
        <w:t xml:space="preserve">Room-level aggregates: </w:t>
      </w:r>
      <w:r>
        <w:t xml:space="preserve">total object count, free-floor fraction, furniture clutter index, largest-horizontal-surface area fraction.</w:t>
      </w:r>
    </w:p>
    <w:p>
      <w:pPr>
        <w:spacing w:after="120"/>
      </w:pPr>
      <w:r>
        <w:t xml:space="preserve">Total feature dimensionality: approximately 280–300. All features stored as a single Parquet file with image_id as the index.</w:t>
      </w:r>
    </w:p>
    <w:p>
      <w:pPr>
        <w:pStyle w:val="Heading3"/>
      </w:pPr>
      <w:r>
        <w:t xml:space="preserve">1.5.3 VLM Annotation (Stage 3, Reduced)</w:t>
      </w:r>
    </w:p>
    <w:p>
      <w:pPr>
        <w:spacing w:after="120"/>
      </w:pPr>
      <w:r>
        <w:rPr>
          <w:b/>
          <w:bCs/>
        </w:rPr>
        <w:t xml:space="preserve">Model: </w:t>
      </w:r>
      <w:r>
        <w:t xml:space="preserve">Qwen2-VL-7B-Instruct, 4-bit AWQ quantisation, served via vLLM or HuggingFace Transformers pipeline.</w:t>
      </w:r>
    </w:p>
    <w:p>
      <w:pPr>
        <w:spacing w:after="120"/>
      </w:pPr>
      <w:r>
        <w:rPr>
          <w:b/>
          <w:bCs/>
        </w:rPr>
        <w:t xml:space="preserve">Hardware: </w:t>
      </w:r>
      <w:r>
        <w:t xml:space="preserve">Single A100 (40 or 80 GB), or an L4/T4 if AWQ quantisation is used. Alternatively, the department cluster or Colab Pro.</w:t>
      </w:r>
    </w:p>
    <w:p>
      <w:pPr>
        <w:spacing w:after="120"/>
      </w:pPr>
      <w:r>
        <w:rPr>
          <w:b/>
          <w:bCs/>
        </w:rPr>
        <w:t xml:space="preserve">Prompting: </w:t>
      </w:r>
      <w:r>
        <w:t xml:space="preserve">One VLM call per image–affordance pair. Each prompt includes the system preamble, the affordance definition (copied from the taxonomy), the detected object list, and a few-shot exemplar (2 examples showing the expected JSON output). Temperature 0.0.</w:t>
      </w:r>
    </w:p>
    <w:p>
      <w:pPr>
        <w:spacing w:after="120"/>
      </w:pPr>
      <w:r>
        <w:rPr>
          <w:b/>
          <w:bCs/>
        </w:rPr>
        <w:t xml:space="preserve">Output: </w:t>
      </w:r>
      <w:r>
        <w:t xml:space="preserve">JSON with fields: affordance_id, score (1–7), indicators (list of {name, type, polarity, strength, rationale}).</w:t>
      </w:r>
    </w:p>
    <w:p>
      <w:pPr>
        <w:spacing w:after="120"/>
      </w:pPr>
      <w:r>
        <w:rPr>
          <w:b/>
          <w:bCs/>
        </w:rPr>
        <w:t xml:space="preserve">Throughput estimate: </w:t>
      </w:r>
      <w:r>
        <w:t xml:space="preserve">≈1.5–2.0 s per call for the 7B model → 1,500 calls ≈ 40–50 min on A100, or ≈4–6 hrs on a slower GPU with quantisation overhead.</w:t>
      </w:r>
    </w:p>
    <w:p>
      <w:pPr>
        <w:pStyle w:val="Heading3"/>
      </w:pPr>
      <w:r>
        <w:t xml:space="preserve">1.5.4 Indicator Grounding (Stage 4, Reduced)</w:t>
      </w:r>
    </w:p>
    <w:p>
      <w:pPr>
        <w:spacing w:after="120"/>
      </w:pPr>
      <w:r>
        <w:t xml:space="preserve">Direct-lookup only. For each VLM-returned indicator whose name matches (after vocabulary alignment) a Mask2Former class label, link the indicator to the corresponding mask_id. Indicators that do not match any detected class (i.e., attribute-type indicators like “limited counter space”) are recorded as ungrounded. No LISA model is used in Phase 1.</w:t>
      </w:r>
    </w:p>
    <w:p>
      <w:pPr>
        <w:pStyle w:val="Heading3"/>
      </w:pPr>
      <w:r>
        <w:t xml:space="preserve">1.5.5 Dataset Assembly (Stage 5, Reduced)</w:t>
      </w:r>
    </w:p>
    <w:p>
      <w:pPr>
        <w:spacing w:after="120"/>
      </w:pPr>
      <w:r>
        <w:t xml:space="preserve">The pilot dataset contains 300 images × 5 affordances = 1,500 records. Each record stores: image_id, affordance_id, vlm_score, the full feature vector (from 1.5.2), and the indicator presence/polarity features (from 1.5.3–1.5.4). The dataset is stored as a single Parquet file suitable for direct ingestion by LightGBM and PyTorch DataLoaders.</w:t>
      </w:r>
    </w:p>
    <w:p>
      <w:pPr>
        <w:pStyle w:val="Heading3"/>
      </w:pPr>
      <w:r>
        <w:t xml:space="preserve">1.5.6 Distilled Models (Stage 6, Reduced)</w:t>
      </w:r>
    </w:p>
    <w:p>
      <w:pPr>
        <w:spacing w:after="120"/>
      </w:pPr>
      <w:r>
        <w:t xml:space="preserve">Three models are trained per affordance (5 affordances × 3 models = 15 model instances). Train/val/test split: 70/10/20 at the scene level.</w:t>
      </w:r>
    </w:p>
    <w:p>
      <w:pPr>
        <w:spacing w:after="120"/>
      </w:pPr>
      <w:r>
        <w:rPr>
          <w:b/>
          <w:bCs/>
        </w:rPr>
        <w:t xml:space="preserve">Model A — CNN baseline: </w:t>
      </w:r>
      <w:r>
        <w:t xml:space="preserve">ResNet-50 pre-trained on ImageNet, final FC layer replaced with a single scalar output. MSE loss, AdamW, learning rate swept over {1e-3, 5e-4, 1e-4, 5e-5}, batch size 32, 30 epochs, early stopping on validation RMSE. Also train a ResNet-18 variant for architecture comparison.</w:t>
      </w:r>
    </w:p>
    <w:p>
      <w:pPr>
        <w:spacing w:after="120"/>
      </w:pPr>
      <w:r>
        <w:rPr>
          <w:b/>
          <w:bCs/>
        </w:rPr>
        <w:t xml:space="preserve">Model B — LightGBM on structured features: </w:t>
      </w:r>
      <w:r>
        <w:t xml:space="preserve">Input = full feature vector (≈300 dims). Optuna search (100 trials) over num_leaves, max_depth, learning_rate, n_estimators, subsample, colsample_bytree, reg_alpha, reg_lambda. 5-fold cross-validation. This is the primary model and the centrepiece of the hyperparameter-tuning narrative in the report.</w:t>
      </w:r>
    </w:p>
    <w:p>
      <w:pPr>
        <w:spacing w:after="120"/>
      </w:pPr>
      <w:r>
        <w:rPr>
          <w:b/>
          <w:bCs/>
        </w:rPr>
        <w:t xml:space="preserve">Model D — Indicator-distilled LightGBM: </w:t>
      </w:r>
      <w:r>
        <w:t xml:space="preserve">Input = Model B features + binary indicator-polarity features (≈300 + 2K dims where K is the number of canonical indicators discovered). Same Optuna search protocol. The comparison between Model B and Model D directly tests the value of VLM indicator reasoning.</w:t>
      </w:r>
    </w:p>
    <w:p>
      <w:pPr>
        <w:pStyle w:val="Heading2"/>
      </w:pPr>
      <w:r>
        <w:t xml:space="preserve">1.6 Experiment Matrix for the Report</w:t>
      </w:r>
    </w:p>
    <w:p>
      <w:pPr>
        <w:spacing w:after="120"/>
      </w:pPr>
      <w:r>
        <w:t xml:space="preserve">The following experiments provide the comprehensive evaluation that the rubric demands.</w:t>
      </w:r>
    </w:p>
    <w:p>
      <w:pPr>
        <w:spacing w:after="120"/>
      </w:pPr>
      <w:r>
        <w:rPr>
          <w:b/>
          <w:bCs/>
        </w:rPr>
        <w:t xml:space="preserve">Experiment 1 — Model comparison: </w:t>
      </w:r>
      <w:r>
        <w:t xml:space="preserve">Compare Models A, B, and D on all 5 affordances using RMSE, MAE, Pearson r, and Spearman ρ on the test set. Report per-affordance and macro-averaged metrics. This addresses the rubric criterion of comparing multiple architectures.</w:t>
      </w:r>
    </w:p>
    <w:p>
      <w:pPr>
        <w:spacing w:after="120"/>
      </w:pPr>
      <w:r>
        <w:rPr>
          <w:b/>
          <w:bCs/>
        </w:rPr>
        <w:t xml:space="preserve">Experiment 2 — Hyperparameter sensitivity (LightGBM): </w:t>
      </w:r>
      <w:r>
        <w:t xml:space="preserve">From the Optuna search for Model B, plot: (a) optimisation history (objective vs. trial number); (b) hyperparameter importance (using Optuna’s fANOVA-based importance); (c) parallel coordinate plots of the top-20 trials. This demonstrates thorough hyperparameter tuning.</w:t>
      </w:r>
    </w:p>
    <w:p>
      <w:pPr>
        <w:spacing w:after="120"/>
      </w:pPr>
      <w:r>
        <w:rPr>
          <w:b/>
          <w:bCs/>
        </w:rPr>
        <w:t xml:space="preserve">Experiment 3 — CNN architecture and learning-rate ablation: </w:t>
      </w:r>
      <w:r>
        <w:t xml:space="preserve">Compare ResNet-18 vs. ResNet-50 at each of the four learning rates. Report as a 2×4 table of test RMSE. This satisfies the rubric’s requirement to compare architectures and vary hyperparameters.</w:t>
      </w:r>
    </w:p>
    <w:p>
      <w:pPr>
        <w:spacing w:after="120"/>
      </w:pPr>
      <w:r>
        <w:rPr>
          <w:b/>
          <w:bCs/>
        </w:rPr>
        <w:t xml:space="preserve">Experiment 4 — Feature group ablation: </w:t>
      </w:r>
      <w:r>
        <w:t xml:space="preserve">Train Model B with progressively removed feature groups: (a) object presence only; (b) presence + counts; (c) all structured features. Compute RMSE for each group and each affordance. This reveals the marginal value of spatial features.</w:t>
      </w:r>
    </w:p>
    <w:p>
      <w:pPr>
        <w:spacing w:after="120"/>
      </w:pPr>
      <w:r>
        <w:rPr>
          <w:b/>
          <w:bCs/>
        </w:rPr>
        <w:t xml:space="preserve">Experiment 5 — Indicator distillation value: </w:t>
      </w:r>
      <w:r>
        <w:t xml:space="preserve">The difference between Model B and Model D quantifies the value of encoding VLM reasoning as features. If Model D substantially outperforms Model B, the implication is that the VLM’s symbolic indicators carry information beyond what the geometric features capture—a finding with both engineering and cognitive-science significance.</w:t>
      </w:r>
    </w:p>
    <w:p>
      <w:pPr>
        <w:spacing w:after="120"/>
      </w:pPr>
      <w:r>
        <w:rPr>
          <w:b/>
          <w:bCs/>
        </w:rPr>
        <w:t xml:space="preserve">Experiment 6 — SHAP interpretability analysis: </w:t>
      </w:r>
      <w:r>
        <w:t xml:space="preserve">Compute SHAP values for the best Model B configuration. Produce summary plots showing the top-10 features per affordance. Compare the SHAP-derived feature ranking against the VLM’s indicator frequency ranking. This provides a qualitative check on whether the distilled model has learned to exploit the same visual cues that the VLM explicitly identified.</w:t>
      </w:r>
    </w:p>
    <w:p>
      <w:pPr>
        <w:spacing w:after="120"/>
      </w:pPr>
      <w:r>
        <w:rPr>
          <w:b/>
          <w:bCs/>
        </w:rPr>
        <w:t xml:space="preserve">Experiment 7 — Segmentation source ablation: </w:t>
      </w:r>
      <w:r>
        <w:t xml:space="preserve">Re-run Model B using Hypersim ground-truth segmentation masks (instead of Mask2Former predictions) as the feature source. Compare test RMSE to quantify the cost of segmentation error propagation.</w:t>
      </w:r>
    </w:p>
    <w:p>
      <w:pPr>
        <w:pStyle w:val="Heading2"/>
      </w:pPr>
      <w:r>
        <w:t xml:space="preserve">1.7 Report Outline (NeurIPS Format)</w:t>
      </w:r>
    </w:p>
    <w:p>
      <w:pPr>
        <w:pStyle w:val="ListParagraph"/>
        <w:numPr>
          <w:ilvl w:val="0"/>
          <w:numId w:val="2"/>
        </w:numPr>
        <w:spacing w:after="60"/>
      </w:pPr>
      <w:r>
        <w:rPr>
          <w:b/>
          <w:bCs/>
        </w:rPr>
        <w:t xml:space="preserve">Abstract </w:t>
      </w:r>
      <w:r>
        <w:t xml:space="preserve">(≈150 words): Problem, method, key result.</w:t>
      </w:r>
    </w:p>
    <w:p>
      <w:pPr>
        <w:pStyle w:val="ListParagraph"/>
        <w:numPr>
          <w:ilvl w:val="0"/>
          <w:numId w:val="2"/>
        </w:numPr>
        <w:spacing w:after="60"/>
      </w:pPr>
      <w:r>
        <w:rPr>
          <w:b/>
          <w:bCs/>
        </w:rPr>
        <w:t xml:space="preserve">1. Introduction </w:t>
      </w:r>
      <w:r>
        <w:t xml:space="preserve">(≈400 words): Affordances in environmental psychology; the computational problem; VLM distillation as solution; contributions.</w:t>
      </w:r>
    </w:p>
    <w:p>
      <w:pPr>
        <w:pStyle w:val="ListParagraph"/>
        <w:numPr>
          <w:ilvl w:val="0"/>
          <w:numId w:val="2"/>
        </w:numPr>
        <w:spacing w:after="60"/>
      </w:pPr>
      <w:r>
        <w:rPr>
          <w:b/>
          <w:bCs/>
        </w:rPr>
        <w:t xml:space="preserve">2. Related Work </w:t>
      </w:r>
      <w:r>
        <w:t xml:space="preserve">(≈300 words): Knowledge distillation (Hinton et al., 2015; Gou et al., 2021); affordance prediction in CV (Nagarajan et al., 2020; Li et al., 2023); VLM reasoning (Bai et al., 2023).</w:t>
      </w:r>
    </w:p>
    <w:p>
      <w:pPr>
        <w:pStyle w:val="ListParagraph"/>
        <w:numPr>
          <w:ilvl w:val="0"/>
          <w:numId w:val="2"/>
        </w:numPr>
        <w:spacing w:after="60"/>
      </w:pPr>
      <w:r>
        <w:rPr>
          <w:b/>
          <w:bCs/>
        </w:rPr>
        <w:t xml:space="preserve">3. Method </w:t>
      </w:r>
      <w:r>
        <w:t xml:space="preserve">(≈500 words): Pipeline overview diagram; Stages 1–6 at pilot scale; model specifications.</w:t>
      </w:r>
    </w:p>
    <w:p>
      <w:pPr>
        <w:pStyle w:val="ListParagraph"/>
        <w:numPr>
          <w:ilvl w:val="0"/>
          <w:numId w:val="2"/>
        </w:numPr>
        <w:spacing w:after="60"/>
      </w:pPr>
      <w:r>
        <w:rPr>
          <w:b/>
          <w:bCs/>
        </w:rPr>
        <w:t xml:space="preserve">4. Experiments </w:t>
      </w:r>
      <w:r>
        <w:t xml:space="preserve">(≈500 words): Dataset description; Experiments 1–7 with tables and figures.</w:t>
      </w:r>
    </w:p>
    <w:p>
      <w:pPr>
        <w:pStyle w:val="ListParagraph"/>
        <w:numPr>
          <w:ilvl w:val="0"/>
          <w:numId w:val="2"/>
        </w:numPr>
        <w:spacing w:after="60"/>
      </w:pPr>
      <w:r>
        <w:rPr>
          <w:b/>
          <w:bCs/>
        </w:rPr>
        <w:t xml:space="preserve">5. Discussion </w:t>
      </w:r>
      <w:r>
        <w:t xml:space="preserve">(≈200 words): Interpretation; limitations; connection to Phase 2.</w:t>
      </w:r>
    </w:p>
    <w:p>
      <w:pPr>
        <w:pStyle w:val="ListParagraph"/>
        <w:numPr>
          <w:ilvl w:val="0"/>
          <w:numId w:val="2"/>
        </w:numPr>
        <w:spacing w:after="60"/>
      </w:pPr>
      <w:r>
        <w:rPr>
          <w:b/>
          <w:bCs/>
        </w:rPr>
        <w:t xml:space="preserve">6. Conclusion </w:t>
      </w:r>
      <w:r>
        <w:t xml:space="preserve">(≈100 words).</w:t>
      </w:r>
    </w:p>
    <w:p>
      <w:pPr>
        <w:pStyle w:val="ListParagraph"/>
        <w:numPr>
          <w:ilvl w:val="0"/>
          <w:numId w:val="2"/>
        </w:numPr>
        <w:spacing w:after="60"/>
      </w:pPr>
      <w:r>
        <w:rPr>
          <w:b/>
          <w:bCs/>
        </w:rPr>
        <w:t xml:space="preserve">7. Bonus Points </w:t>
      </w:r>
      <w:r>
        <w:t xml:space="preserve">(≈200 words): Novelty of domain, dataset, and distillation framework.</w:t>
      </w:r>
    </w:p>
    <w:p>
      <w:pPr>
        <w:pStyle w:val="ListParagraph"/>
        <w:numPr>
          <w:ilvl w:val="0"/>
          <w:numId w:val="2"/>
        </w:numPr>
        <w:spacing w:after="60"/>
      </w:pPr>
      <w:r>
        <w:rPr>
          <w:b/>
          <w:bCs/>
        </w:rPr>
        <w:t xml:space="preserve">References </w:t>
      </w:r>
      <w:r>
        <w:t xml:space="preserve">(≈15–20 entries).</w:t>
      </w:r>
    </w:p>
    <w:p>
      <w:pPr>
        <w:spacing w:after="120"/>
      </w:pPr>
      <w:r>
        <w:t xml:space="preserve">Total: approximately 2,300–2,500 words, comfortably exceeding the 1,500-word minimum while remaining concise enough to write in a single afternoon.</w:t>
      </w:r>
    </w:p>
    <w:p>
      <w:pPr>
        <w:pStyle w:val="Heading2"/>
      </w:pPr>
      <w:r>
        <w:t xml:space="preserve">1.8 Deliverables Checklist</w:t>
      </w:r>
    </w:p>
    <w:p>
      <w:pPr>
        <w:pStyle w:val="ListParagraph"/>
        <w:numPr>
          <w:ilvl w:val="0"/>
          <w:numId w:val="2"/>
        </w:numPr>
        <w:spacing w:after="60"/>
      </w:pPr>
      <w:r>
        <w:t xml:space="preserve">Report PDF in NeurIPS/ICML format</w:t>
      </w:r>
    </w:p>
    <w:p>
      <w:pPr>
        <w:pStyle w:val="ListParagraph"/>
        <w:numPr>
          <w:ilvl w:val="0"/>
          <w:numId w:val="2"/>
        </w:numPr>
        <w:spacing w:after="60"/>
      </w:pPr>
      <w:r>
        <w:t xml:space="preserve">Python codebase (GitHub link in report): segmentation, feature extraction, VLM annotation, model training, evaluation</w:t>
      </w:r>
    </w:p>
    <w:p>
      <w:pPr>
        <w:pStyle w:val="ListParagraph"/>
        <w:numPr>
          <w:ilvl w:val="0"/>
          <w:numId w:val="2"/>
        </w:numPr>
        <w:spacing w:after="60"/>
      </w:pPr>
      <w:r>
        <w:t xml:space="preserve">Pilot dataset: 300 images × 5 affordances with features and VLM annotations (Parquet)</w:t>
      </w:r>
    </w:p>
    <w:p>
      <w:pPr>
        <w:pStyle w:val="ListParagraph"/>
        <w:numPr>
          <w:ilvl w:val="0"/>
          <w:numId w:val="2"/>
        </w:numPr>
        <w:spacing w:after="60"/>
      </w:pPr>
      <w:r>
        <w:t xml:space="preserve">Trained model artefacts: LightGBM pickles, CNN checkpoints</w:t>
      </w:r>
    </w:p>
    <w:p>
      <w:pPr>
        <w:pStyle w:val="ListParagraph"/>
        <w:numPr>
          <w:ilvl w:val="0"/>
          <w:numId w:val="2"/>
        </w:numPr>
        <w:spacing w:after="60"/>
      </w:pPr>
      <w:r>
        <w:t xml:space="preserve">SHAP and indicator-analysis figures</w:t>
      </w:r>
    </w:p>
    <w:p>
      <w:pPr>
        <w:pStyle w:val="ListParagraph"/>
        <w:numPr>
          <w:ilvl w:val="0"/>
          <w:numId w:val="2"/>
        </w:numPr>
        <w:spacing w:after="60"/>
      </w:pPr>
      <w:r>
        <w:t xml:space="preserve">Optional: 3–5 minute video walkthrough</w:t>
      </w:r>
    </w:p>
    <w:p>
      <w:r>
        <w:br w:type="page"/>
      </w:r>
    </w:p>
    <w:p>
      <w:pPr>
        <w:pStyle w:val="Heading1"/>
      </w:pPr>
      <w:r>
        <w:t xml:space="preserve">Phase 2: Full Methodology Completion</w:t>
      </w:r>
    </w:p>
    <w:p>
      <w:pPr>
        <w:pStyle w:val="Heading2"/>
      </w:pPr>
      <w:r>
        <w:t xml:space="preserve">2.1 Relationship to Phase 1</w:t>
      </w:r>
    </w:p>
    <w:p>
      <w:pPr>
        <w:spacing w:after="120"/>
      </w:pPr>
      <w:r>
        <w:t xml:space="preserve">Phase 2 inherits all infrastructure from Phase 1—the codebase, the pilot dataset, the trained models, the prompt templates, the evaluation protocols—and extends them along four axes: affordance coverage (5 → 130), image corpus size (300 → 5,000–8,000), model repertoire (3 → 5 model variants), and evaluation depth (7 pilot experiments → the full 5-experiment suite specified in the companion plan plus ablation studies). Nothing from Phase 1 is discarded or rewritten; the pilot dataset becomes a validated subset within the full dataset.</w:t>
      </w:r>
    </w:p>
    <w:p>
      <w:pPr>
        <w:pStyle w:val="Heading2"/>
      </w:pPr>
      <w:r>
        <w:t xml:space="preserve">2.2 What Phase 2 Adds, Stage by Stage</w:t>
      </w:r>
    </w:p>
    <w:p>
      <w:pPr>
        <w:pStyle w:val="Heading3"/>
      </w:pPr>
      <w:r>
        <w:t xml:space="preserve">2.2.1 Stage 1 Extension: Full Corpus Segmentation</w:t>
      </w:r>
    </w:p>
    <w:p>
      <w:pPr>
        <w:pStyle w:val="ListParagraph"/>
        <w:numPr>
          <w:ilvl w:val="0"/>
          <w:numId w:val="2"/>
        </w:numPr>
        <w:spacing w:after="60"/>
      </w:pPr>
      <w:r>
        <w:t xml:space="preserve">Run Mask2Former on the full 5,000–8,000 image Hypersim sample (the pilot’s 300 are already processed).</w:t>
      </w:r>
    </w:p>
    <w:p>
      <w:pPr>
        <w:pStyle w:val="ListParagraph"/>
        <w:numPr>
          <w:ilvl w:val="0"/>
          <w:numId w:val="2"/>
        </w:numPr>
        <w:spacing w:after="60"/>
      </w:pPr>
      <w:r>
        <w:t xml:space="preserve">Implement Grounding DINO + SAM 2 fallback for taxonomy-specific classes absent from COCO (acoustic panels, whiteboards, exercise equipment, etc.).</w:t>
      </w:r>
    </w:p>
    <w:p>
      <w:pPr>
        <w:pStyle w:val="ListParagraph"/>
        <w:numPr>
          <w:ilvl w:val="0"/>
          <w:numId w:val="2"/>
        </w:numPr>
        <w:spacing w:after="60"/>
      </w:pPr>
      <w:r>
        <w:t xml:space="preserve">Complete the full COCO-to-taxonomy vocabulary mapping (all 133 classes + additional taxonomy classes) and integrate with the Ontology layer’s WordNet hypernym propagation.</w:t>
      </w:r>
    </w:p>
    <w:p>
      <w:pPr>
        <w:pStyle w:val="Heading3"/>
      </w:pPr>
      <w:r>
        <w:t xml:space="preserve">2.2.2 Stage 2 Extension: Full Feature Engineering</w:t>
      </w:r>
    </w:p>
    <w:p>
      <w:pPr>
        <w:pStyle w:val="ListParagraph"/>
        <w:numPr>
          <w:ilvl w:val="0"/>
          <w:numId w:val="2"/>
        </w:numPr>
        <w:spacing w:after="60"/>
      </w:pPr>
      <w:r>
        <w:t xml:space="preserve">Add functional-zone features (DBSCAN-based clustering of object centroids, work-triangle detection, seating-cluster identification).</w:t>
      </w:r>
    </w:p>
    <w:p>
      <w:pPr>
        <w:pStyle w:val="ListParagraph"/>
        <w:numPr>
          <w:ilvl w:val="0"/>
          <w:numId w:val="2"/>
        </w:numPr>
        <w:spacing w:after="60"/>
      </w:pPr>
      <w:r>
        <w:t xml:space="preserve">Add metric-scale features using Hypersim depth maps (real-valued areas in m², metric pairwise distances).</w:t>
      </w:r>
    </w:p>
    <w:p>
      <w:pPr>
        <w:pStyle w:val="ListParagraph"/>
        <w:numPr>
          <w:ilvl w:val="0"/>
          <w:numId w:val="2"/>
        </w:numPr>
        <w:spacing w:after="60"/>
      </w:pPr>
      <w:r>
        <w:t xml:space="preserve">Expand the pairwise-relation feature set to cover all object pairs relevant to the full 130 affordances (the pilot computed distances only for the 5 pilot affordances’ key objects).</w:t>
      </w:r>
    </w:p>
    <w:p>
      <w:pPr>
        <w:pStyle w:val="Heading3"/>
      </w:pPr>
      <w:r>
        <w:t xml:space="preserve">2.2.3 Stage 3 Extension: Full VLM Annotation</w:t>
      </w:r>
    </w:p>
    <w:p>
      <w:pPr>
        <w:pStyle w:val="ListParagraph"/>
        <w:numPr>
          <w:ilvl w:val="0"/>
          <w:numId w:val="2"/>
        </w:numPr>
        <w:spacing w:after="60"/>
      </w:pPr>
      <w:r>
        <w:t xml:space="preserve">Scale from 5 affordances to 130, using the room-type-filtered batch strategy (10–25 affordances per image, 5 per VLM call).</w:t>
      </w:r>
    </w:p>
    <w:p>
      <w:pPr>
        <w:pStyle w:val="ListParagraph"/>
        <w:numPr>
          <w:ilvl w:val="0"/>
          <w:numId w:val="2"/>
        </w:numPr>
        <w:spacing w:after="60"/>
      </w:pPr>
      <w:r>
        <w:t xml:space="preserve">Upgrade the teacher model from Qwen2-VL-7B to Qwen2-VL-72B (or InternVL2.5-78B) for higher reasoning quality; the pilot comparison of 7B vs. 72B on the 300-image set provides the empirical basis for this decision.</w:t>
      </w:r>
    </w:p>
    <w:p>
      <w:pPr>
        <w:pStyle w:val="ListParagraph"/>
        <w:numPr>
          <w:ilvl w:val="0"/>
          <w:numId w:val="2"/>
        </w:numPr>
        <w:spacing w:after="60"/>
      </w:pPr>
      <w:r>
        <w:t xml:space="preserve">Construct the full controlled indicator vocabulary via sentence-transformer clustering on the pilot+full annotation outputs.</w:t>
      </w:r>
    </w:p>
    <w:p>
      <w:pPr>
        <w:pStyle w:val="ListParagraph"/>
        <w:numPr>
          <w:ilvl w:val="0"/>
          <w:numId w:val="2"/>
        </w:numPr>
        <w:spacing w:after="60"/>
      </w:pPr>
      <w:r>
        <w:t xml:space="preserve">Implement the canonical-vocabulary enforcement prompt (constraining the VLM to select from the controlled vocabulary).</w:t>
      </w:r>
    </w:p>
    <w:p>
      <w:pPr>
        <w:pStyle w:val="ListParagraph"/>
        <w:numPr>
          <w:ilvl w:val="0"/>
          <w:numId w:val="2"/>
        </w:numPr>
        <w:spacing w:after="60"/>
      </w:pPr>
      <w:r>
        <w:t xml:space="preserve">Estimate: 7,000 images × 15 affordances/image ÷ 5 affordances/call = ~21,000 VLM calls ≈ ~12–18 hrs on a 4×A100 node with the 72B model.</w:t>
      </w:r>
    </w:p>
    <w:p>
      <w:pPr>
        <w:pStyle w:val="Heading3"/>
      </w:pPr>
      <w:r>
        <w:t xml:space="preserve">2.2.4 Stage 4 Extension: LISA-Based Grounding</w:t>
      </w:r>
    </w:p>
    <w:p>
      <w:pPr>
        <w:pStyle w:val="ListParagraph"/>
        <w:numPr>
          <w:ilvl w:val="0"/>
          <w:numId w:val="2"/>
        </w:numPr>
        <w:spacing w:after="60"/>
      </w:pPr>
      <w:r>
        <w:t xml:space="preserve">Deploy LISA-13B for attribute-type indicators that lack direct mask matches (e.g., “limited counter space”, “warm lighting”, “open floor area”).</w:t>
      </w:r>
    </w:p>
    <w:p>
      <w:pPr>
        <w:pStyle w:val="ListParagraph"/>
        <w:numPr>
          <w:ilvl w:val="0"/>
          <w:numId w:val="2"/>
        </w:numPr>
        <w:spacing w:after="60"/>
      </w:pPr>
      <w:r>
        <w:t xml:space="preserve">Implement grounding-confidence thresholding (reject masks with LISA confidence &lt; 0.3 or area &lt; 0.1% of image).</w:t>
      </w:r>
    </w:p>
    <w:p>
      <w:pPr>
        <w:pStyle w:val="ListParagraph"/>
        <w:numPr>
          <w:ilvl w:val="0"/>
          <w:numId w:val="2"/>
        </w:numPr>
        <w:spacing w:after="60"/>
      </w:pPr>
      <w:r>
        <w:t xml:space="preserve">Compute grounded-indicator features: area, spatial extent, and position of grounded regions, yielding continuous features for indicators that were binary in Phase 1.</w:t>
      </w:r>
    </w:p>
    <w:p>
      <w:pPr>
        <w:pStyle w:val="Heading3"/>
      </w:pPr>
      <w:r>
        <w:t xml:space="preserve">2.2.5 Stage 5 Extension: Full Dataset Assembly</w:t>
      </w:r>
    </w:p>
    <w:p>
      <w:pPr>
        <w:pStyle w:val="ListParagraph"/>
        <w:numPr>
          <w:ilvl w:val="0"/>
          <w:numId w:val="2"/>
        </w:numPr>
        <w:spacing w:after="60"/>
      </w:pPr>
      <w:r>
        <w:t xml:space="preserve">Assemble the complete dataset: ≈50,000–75,000 image–affordance records.</w:t>
      </w:r>
    </w:p>
    <w:p>
      <w:pPr>
        <w:pStyle w:val="ListParagraph"/>
        <w:numPr>
          <w:ilvl w:val="0"/>
          <w:numId w:val="2"/>
        </w:numPr>
        <w:spacing w:after="60"/>
      </w:pPr>
      <w:r>
        <w:t xml:space="preserve">Add the COCO-format JSON annotation files with full mask and indicator grounding records.</w:t>
      </w:r>
    </w:p>
    <w:p>
      <w:pPr>
        <w:pStyle w:val="ListParagraph"/>
        <w:numPr>
          <w:ilvl w:val="0"/>
          <w:numId w:val="2"/>
        </w:numPr>
        <w:spacing w:after="60"/>
      </w:pPr>
      <w:r>
        <w:t xml:space="preserve">Run the human quality-assurance validation: 500 records × 2 raters; compute ICC, Pearson r, MAE against VLM scores; revise prompts for affordances that fail the ICC &gt; 0.70 threshold.</w:t>
      </w:r>
    </w:p>
    <w:p>
      <w:pPr>
        <w:pStyle w:val="Heading3"/>
      </w:pPr>
      <w:r>
        <w:t xml:space="preserve">2.2.6 Stage 6 Extension: Full Model Suite</w:t>
      </w:r>
    </w:p>
    <w:p>
      <w:pPr>
        <w:pStyle w:val="ListParagraph"/>
        <w:numPr>
          <w:ilvl w:val="0"/>
          <w:numId w:val="2"/>
        </w:numPr>
        <w:spacing w:after="60"/>
      </w:pPr>
      <w:r>
        <w:rPr>
          <w:b/>
          <w:bCs/>
        </w:rPr>
        <w:t xml:space="preserve">Model C (GNN): </w:t>
      </w:r>
      <w:r>
        <w:t xml:space="preserve">Implement the GATv2 scene-graph model. Construct object-relation graphs from the segmentation output. Train with MSE loss. Compare against Models B and D to assess whether relational inductive biases improve predictions for spatially-dependent affordances (cooking, conversation, yoga).</w:t>
      </w:r>
    </w:p>
    <w:p>
      <w:pPr>
        <w:pStyle w:val="ListParagraph"/>
        <w:numPr>
          <w:ilvl w:val="0"/>
          <w:numId w:val="2"/>
        </w:numPr>
        <w:spacing w:after="60"/>
      </w:pPr>
      <w:r>
        <w:rPr>
          <w:b/>
          <w:bCs/>
        </w:rPr>
        <w:t xml:space="preserve">Model E (Multi-task): </w:t>
      </w:r>
      <w:r>
        <w:t xml:space="preserve">Implement the shared-backbone multi-task model that predicts all 130 affordances jointly. Test both LightGBM multi-output and MLP multi-head variants. Apply curriculum learning (Tier 1 first, then Tier 2).</w:t>
      </w:r>
    </w:p>
    <w:p>
      <w:pPr>
        <w:pStyle w:val="ListParagraph"/>
        <w:numPr>
          <w:ilvl w:val="0"/>
          <w:numId w:val="2"/>
        </w:numPr>
        <w:spacing w:after="60"/>
      </w:pPr>
      <w:r>
        <w:t xml:space="preserve">Retrain Models A, B, and D on the full dataset (they were trained on 300 images in Phase 1).</w:t>
      </w:r>
    </w:p>
    <w:p>
      <w:pPr>
        <w:pStyle w:val="ListParagraph"/>
        <w:numPr>
          <w:ilvl w:val="0"/>
          <w:numId w:val="2"/>
        </w:numPr>
        <w:spacing w:after="60"/>
      </w:pPr>
      <w:r>
        <w:t xml:space="preserve">Calibrate all models via isotonic regression on the validation set.</w:t>
      </w:r>
    </w:p>
    <w:p>
      <w:pPr>
        <w:pStyle w:val="Heading3"/>
      </w:pPr>
      <w:r>
        <w:t xml:space="preserve">2.2.7 Evaluation Extension</w:t>
      </w:r>
    </w:p>
    <w:p>
      <w:pPr>
        <w:pStyle w:val="ListParagraph"/>
        <w:numPr>
          <w:ilvl w:val="0"/>
          <w:numId w:val="2"/>
        </w:numPr>
        <w:spacing w:after="60"/>
      </w:pPr>
      <w:r>
        <w:rPr>
          <w:b/>
          <w:bCs/>
        </w:rPr>
        <w:t xml:space="preserve">Experiment 4 (Phase 2 numbering) — Generalisation: </w:t>
      </w:r>
      <w:r>
        <w:t xml:space="preserve">Collect human ratings for 300 real photographs (SUN RGB-D or Matterport3D) across 20 affordances. Evaluate all distilled models. If domain gap is substantial, implement MMD domain adaptation and mixed training.</w:t>
      </w:r>
    </w:p>
    <w:p>
      <w:pPr>
        <w:pStyle w:val="ListParagraph"/>
        <w:numPr>
          <w:ilvl w:val="0"/>
          <w:numId w:val="2"/>
        </w:numPr>
        <w:spacing w:after="60"/>
      </w:pPr>
      <w:r>
        <w:rPr>
          <w:b/>
          <w:bCs/>
        </w:rPr>
        <w:t xml:space="preserve">Experiment 5 — Full ablation suite: </w:t>
      </w:r>
      <w:r>
        <w:t xml:space="preserve">Segmentation source, feature group, VLM teacher model (7B vs. 72B vs. InternVL), prompt format (few-shot vs. zero-shot; JSON enforcement vs. free text), and indicator vocabulary granularity (50, 100, 200, 400 canonical indicators).</w:t>
      </w:r>
    </w:p>
    <w:p>
      <w:pPr>
        <w:pStyle w:val="ListParagraph"/>
        <w:numPr>
          <w:ilvl w:val="0"/>
          <w:numId w:val="2"/>
        </w:numPr>
        <w:spacing w:after="60"/>
      </w:pPr>
      <w:r>
        <w:t xml:space="preserve">Compute full SHAP analyses for all 130 affordances across the best Model B and Model D configurations.</w:t>
      </w:r>
    </w:p>
    <w:p>
      <w:pPr>
        <w:pStyle w:val="ListParagraph"/>
        <w:numPr>
          <w:ilvl w:val="0"/>
          <w:numId w:val="2"/>
        </w:numPr>
        <w:spacing w:after="60"/>
      </w:pPr>
      <w:r>
        <w:t xml:space="preserve">Compute the indicator discovery analysis: frequency, predictive power (point-biserial correlation), co-occurrence (phi coefficients + hierarchical clustering).</w:t>
      </w:r>
    </w:p>
    <w:p>
      <w:pPr>
        <w:pStyle w:val="Heading2"/>
      </w:pPr>
      <w:r>
        <w:t xml:space="preserve">2.3 Integration with the Parent Image Tagging System</w:t>
      </w:r>
    </w:p>
    <w:p>
      <w:pPr>
        <w:spacing w:after="120"/>
      </w:pPr>
      <w:r>
        <w:t xml:space="preserve">Phase 2 culminates in integration with the parent system’s architecture. This involves: (a) formatting model outputs as Attribute Frame slots with BN Export Hooks, following the Level 3 data model; (b) implementing the Provenance module that attaches top-5 SHAP features as provenance records; (c) connecting to the Calibration &amp; Fusion layer so that affordance scores can be combined with other perception-layer outputs; and (d) writing the DVC-based model versioning and retraining triggers. None of this integration work is relevant to the COGS 185 submission but constitutes the final engineering stage of the research programme.</w:t>
      </w:r>
    </w:p>
    <w:p>
      <w:pPr>
        <w:pStyle w:val="Heading2"/>
      </w:pPr>
      <w:r>
        <w:t xml:space="preserve">2.4 Phase 2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60"/>
        <w:gridCol w:w="1500"/>
        <w:gridCol w:w="1300"/>
        <w:gridCol w:w="1500"/>
      </w:tblGrid>
      <w:tr>
        <w:tc>
          <w:tcPr>
            <w:tcW w:type="dxa" w:w="9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416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Tasks</w:t>
            </w:r>
          </w:p>
        </w:tc>
        <w:tc>
          <w:tcPr>
            <w:tcW w:type="dxa" w:w="15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13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GPU Hrs</w:t>
            </w:r>
          </w:p>
        </w:tc>
        <w:tc>
          <w:tcPr>
            <w:tcW w:type="dxa" w:w="15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Personnel</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2A</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Full corpus segmentation; Grounding DINO + SAM 2; vocabulary completion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 weeks</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 ML eng</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2B</w:t>
            </w:r>
          </w:p>
        </w:tc>
        <w:tc>
          <w:tcPr>
            <w:tcW w:type="dxa" w:w="4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Full feature engineering (zones, metric features, expanded pairwise set)</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 weeks</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 ML eng</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2C</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Full VLM annotation (72B model); indicator vocabulary construction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 weeks</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2,000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 ML eng</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2D</w:t>
            </w:r>
          </w:p>
        </w:tc>
        <w:tc>
          <w:tcPr>
            <w:tcW w:type="dxa" w:w="4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LISA grounding; full dataset assembly; human QA</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 weeks</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300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 eng + 2 RA</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2E</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Full model training (A–E); hyperparameter search; evaluation; ablations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 weeks</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 ML eng</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2F</w:t>
            </w:r>
          </w:p>
        </w:tc>
        <w:tc>
          <w:tcPr>
            <w:tcW w:type="dxa" w:w="4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Generalisation experiments; real-image human ratings; domain adaptation</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 weeks</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200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 eng + 2 RA</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2G</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SHAP/indicator discovery analysis; scientific write-up</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 weeks</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 eng + PI</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2H</w:t>
            </w:r>
          </w:p>
        </w:tc>
        <w:tc>
          <w:tcPr>
            <w:tcW w:type="dxa" w:w="4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Parent system integration; calibration; BN interface; DVC; documentation</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 weeks</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 ML eng</w:t>
            </w:r>
          </w:p>
        </w:tc>
      </w:tr>
    </w:tbl>
    <w:p>
      <w:pPr>
        <w:spacing w:after="80"/>
      </w:pPr>
    </w:p>
    <w:p>
      <w:pPr>
        <w:spacing w:after="120"/>
      </w:pPr>
      <w:r>
        <w:rPr>
          <w:b/>
          <w:bCs/>
        </w:rPr>
        <w:t xml:space="preserve">Total Phase 2 duration: </w:t>
      </w:r>
      <w:r>
        <w:t xml:space="preserve">≈21 weeks (~5 months), beginning after the COGS 185 submission.</w:t>
      </w:r>
    </w:p>
    <w:p>
      <w:pPr>
        <w:spacing w:after="120"/>
      </w:pPr>
      <w:r>
        <w:rPr>
          <w:b/>
          <w:bCs/>
        </w:rPr>
        <w:t xml:space="preserve">Total Phase 2 GPU hours: </w:t>
      </w:r>
      <w:r>
        <w:t xml:space="preserve">≈3,350 A100-equivalent hours.</w:t>
      </w:r>
    </w:p>
    <w:p>
      <w:pPr>
        <w:pStyle w:val="Heading1"/>
      </w:pPr>
      <w:r>
        <w:t xml:space="preserve">3. Phase 1 → Phase 2 Crosswalk</w:t>
      </w:r>
    </w:p>
    <w:p>
      <w:pPr>
        <w:spacing w:after="120"/>
      </w:pPr>
      <w:r>
        <w:t xml:space="preserve">The following table summarises exactly what is completed in Phase 1, what changes in Phase 2, and what is entirely new in Phase 2. The purpose is to ensure that no Phase 1 work is wasted and that the transition is seamless.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c>
          <w:tcPr>
            <w:tcW w:type="dxa" w:w="21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Pipeline Component</w:t>
            </w:r>
          </w:p>
        </w:tc>
        <w:tc>
          <w:tcPr>
            <w:tcW w:type="dxa" w:w="320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Phase 1 (Pilot)</w:t>
            </w:r>
          </w:p>
        </w:tc>
        <w:tc>
          <w:tcPr>
            <w:tcW w:type="dxa" w:w="4060"/>
            <w:tcBorders>
              <w:top w:val="single" w:color="AAAAAA" w:sz="1"/>
              <w:left w:val="single" w:color="AAAAAA" w:sz="1"/>
              <w:bottom w:val="single" w:color="AAAAAA" w:sz="1"/>
              <w:right w:val="single" w:color="AAAAA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Phase 2 (Extension)</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Affordance scope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 affordances (1 per family)</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130 affordances (13 families)</w:t>
            </w:r>
          </w:p>
        </w:tc>
      </w:tr>
      <w:tr>
        <w:tc>
          <w:tcPr>
            <w:tcW w:type="dxa" w:w="2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Image corpus</w:t>
            </w:r>
          </w:p>
        </w:tc>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300 Hypersim images</w:t>
            </w:r>
          </w:p>
        </w:tc>
        <w:tc>
          <w:tcPr>
            <w:tcW w:type="dxa" w:w="40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5,000–8,000 Hypersim + 300 real photos</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Segmentation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Mask2Former only</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Mask2Former + Grounding DINO + SAM 2</w:t>
            </w:r>
          </w:p>
        </w:tc>
      </w:tr>
      <w:tr>
        <w:tc>
          <w:tcPr>
            <w:tcW w:type="dxa" w:w="2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Feature extraction</w:t>
            </w:r>
          </w:p>
        </w:tc>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Presence, counts, key distances, room aggregates</w:t>
            </w:r>
          </w:p>
        </w:tc>
        <w:tc>
          <w:tcPr>
            <w:tcW w:type="dxa" w:w="40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Add zones, metric-scale, full pairwise set</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VLM teacher</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Qwen2-VL-7B</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Qwen2-VL-72B or InternVL2.5-78B</w:t>
            </w:r>
          </w:p>
        </w:tc>
      </w:tr>
      <w:tr>
        <w:tc>
          <w:tcPr>
            <w:tcW w:type="dxa" w:w="2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Indicator grounding</w:t>
            </w:r>
          </w:p>
        </w:tc>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Direct lookup only</w:t>
            </w:r>
          </w:p>
        </w:tc>
        <w:tc>
          <w:tcPr>
            <w:tcW w:type="dxa" w:w="40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Direct lookup + LISA-13B</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Indicator vocabulary</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Pilot vocabulary from 300 images</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Full controlled vocab from 5,000+ images</w:t>
            </w:r>
          </w:p>
        </w:tc>
      </w:tr>
      <w:tr>
        <w:tc>
          <w:tcPr>
            <w:tcW w:type="dxa" w:w="2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Distilled models</w:t>
            </w:r>
          </w:p>
        </w:tc>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A (CNN), B (LightGBM), D (indicator LightGBM)</w:t>
            </w:r>
          </w:p>
        </w:tc>
        <w:tc>
          <w:tcPr>
            <w:tcW w:type="dxa" w:w="40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Add C (GNN), E (multi-task)</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Evaluation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 experiments on Hypersim only</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 full experiments + ablation suite + real-image generalisation</w:t>
            </w:r>
          </w:p>
        </w:tc>
      </w:tr>
      <w:tr>
        <w:tc>
          <w:tcPr>
            <w:tcW w:type="dxa" w:w="2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Human validation</w:t>
            </w:r>
          </w:p>
        </w:tc>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None (use VLM scores as ground truth)</w:t>
            </w:r>
          </w:p>
        </w:tc>
        <w:tc>
          <w:tcPr>
            <w:tcW w:type="dxa" w:w="40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500 records × 2 raters; ICC / Pearson / MAE</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Calibration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Raw model outputs</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Isotonic regression per affordance</w:t>
            </w:r>
          </w:p>
        </w:tc>
      </w:tr>
      <w:tr>
        <w:tc>
          <w:tcPr>
            <w:tcW w:type="dxa" w:w="2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System integration</w:t>
            </w:r>
          </w:p>
        </w:tc>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None</w:t>
            </w:r>
          </w:p>
        </w:tc>
        <w:tc>
          <w:tcPr>
            <w:tcW w:type="dxa" w:w="40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Attribute Frames; BN Export Hooks; DVC</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Output format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COGS 185 report + code</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Full research paper + production-ready pipeline</w:t>
            </w:r>
          </w:p>
        </w:tc>
      </w:tr>
    </w:tbl>
    <w:p>
      <w:pPr>
        <w:spacing w:after="80"/>
      </w:pPr>
    </w:p>
    <w:p>
      <w:pPr>
        <w:pStyle w:val="Heading1"/>
      </w:pPr>
      <w:r>
        <w:t xml:space="preserve">4. References</w:t>
      </w:r>
    </w:p>
    <w:p>
      <w:pPr>
        <w:spacing w:after="120"/>
      </w:pPr>
      <w:r>
        <w:t xml:space="preserve">Bai, J., Bai, S., Yang, S., Wang, S., Tan, S., Wang, P., Lin, J., Zhou, C., &amp; Zhou, J. (2023). Qwen-VL: A versatile vision-language model for understanding, localization, text reading, and beyond. arXiv:2308.12966. https://doi.org/10.48550/arXiv.2308.12966</w:t>
      </w:r>
    </w:p>
    <w:p>
      <w:pPr>
        <w:spacing w:after="120"/>
      </w:pPr>
      <w:r>
        <w:t xml:space="preserve">Cheng, B., Misra, I., Schwing, A. G., Kirillov, A., &amp; Goel, R. (2022). Masked-attention mask transformer for universal image segmentation. CVPR, 1290–1299. https://doi.org/10.1109/CVPR52688.2022.00135</w:t>
      </w:r>
    </w:p>
    <w:p>
      <w:pPr>
        <w:spacing w:after="120"/>
      </w:pPr>
      <w:r>
        <w:t xml:space="preserve">Gibson, J. J. (1979). The ecological approach to visual perception. Houghton Mifflin.</w:t>
      </w:r>
    </w:p>
    <w:p>
      <w:pPr>
        <w:spacing w:after="120"/>
      </w:pPr>
      <w:r>
        <w:t xml:space="preserve">Gou, J., Yu, B., Maybank, S. J., &amp; Tao, D. (2021). Knowledge distillation: A survey. International Journal of Computer Vision, 129(6), 1789–1819. https://doi.org/10.1007/s11263-021-01453-z</w:t>
      </w:r>
    </w:p>
    <w:p>
      <w:pPr>
        <w:spacing w:after="120"/>
      </w:pPr>
      <w:r>
        <w:t xml:space="preserve">He, K., Zhang, X., Ren, S., &amp; Sun, J. (2016). Deep residual learning for image recognition. CVPR, 770–778. https://doi.org/10.1109/CVPR.2016.90</w:t>
      </w:r>
    </w:p>
    <w:p>
      <w:pPr>
        <w:spacing w:after="120"/>
      </w:pPr>
      <w:r>
        <w:t xml:space="preserve">Hinton, G., Vinyals, O., &amp; Dean, J. (2015). Distilling the knowledge in a neural network. arXiv:1503.02531. https://doi.org/10.48550/arXiv.1503.02531</w:t>
      </w:r>
    </w:p>
    <w:p>
      <w:pPr>
        <w:spacing w:after="120"/>
      </w:pPr>
      <w:r>
        <w:t xml:space="preserve">Ke, G., Meng, Q., Finley, T., Wang, T., Chen, W., Ma, W., Ye, Q., &amp; Liu, T.-Y. (2017). LightGBM: A highly efficient gradient boosting decision tree. NeurIPS, 30, 3146–3154. https://doi.org/10.5555/3294996.3295074</w:t>
      </w:r>
    </w:p>
    <w:p>
      <w:pPr>
        <w:spacing w:after="120"/>
      </w:pPr>
      <w:r>
        <w:t xml:space="preserve">Lai, X., Tian, Z., Chen, Y., Li, Y., Yuan, Y., Liu, S., &amp; Jia, J. (2024). LISA: Reasoning segmentation via large language model. CVPR, 9579–9589. https://doi.org/10.1109/CVPR52733.2024.00915</w:t>
      </w:r>
    </w:p>
    <w:p>
      <w:pPr>
        <w:spacing w:after="120"/>
      </w:pPr>
      <w:r>
        <w:t xml:space="preserve">Li, L., Zheng, W., Bai, J., &amp; Liu, M. (2023). Learning affordance grounding from exocentric images. CVPR, 2252–2261. https://doi.org/10.1109/CVPR52729.2023.00223</w:t>
      </w:r>
    </w:p>
    <w:p>
      <w:pPr>
        <w:spacing w:after="120"/>
      </w:pPr>
      <w:r>
        <w:t xml:space="preserve">Liu, S., Zeng, Z., Ren, T., Li, F., Zhang, H., Yang, J., ... &amp; Zhang, L. (2023). Grounding DINO: Marrying DINO with grounded pre-training for open-set object detection. arXiv:2303.05499. https://doi.org/10.48550/arXiv.2303.05499</w:t>
      </w:r>
    </w:p>
    <w:p>
      <w:pPr>
        <w:spacing w:after="120"/>
      </w:pPr>
      <w:r>
        <w:t xml:space="preserve">Lundberg, S. M., &amp; Lee, S.-I. (2017). A unified approach to interpreting model predictions. NeurIPS, 30, 4765–4774. https://doi.org/10.5555/3295222.3295230</w:t>
      </w:r>
    </w:p>
    <w:p>
      <w:pPr>
        <w:spacing w:after="120"/>
      </w:pPr>
      <w:r>
        <w:t xml:space="preserve">Nagarajan, T., Grauman, K., &amp; Feichtenhofer, C. (2020). Grounded human-object interaction hotspots from video. ICCV, 8688–8697. https://doi.org/10.1109/ICCV48922.2021.00857</w:t>
      </w:r>
    </w:p>
    <w:p>
      <w:pPr>
        <w:spacing w:after="120"/>
      </w:pPr>
      <w:r>
        <w:t xml:space="preserve">Ravi, N., et al. (2024). SAM 2: Segment anything in images and videos. arXiv:2408.00714. https://doi.org/10.48550/arXiv.2408.00714</w:t>
      </w:r>
    </w:p>
    <w:p>
      <w:pPr>
        <w:spacing w:after="120"/>
      </w:pPr>
      <w:r>
        <w:t xml:space="preserve">Roberts, M., et al. (2021). Hypersim: A photorealistic synthetic dataset for holistic indoor scene understanding. ICCV, 10912–10922. https://doi.org/10.1109/ICCV48922.2021.01073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Affordance Prediction — Two-Phase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B579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B6F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2026-03-10T23:11:44.494Z</dcterms:created>
  <dcterms:modified xsi:type="dcterms:W3CDTF">2026-03-10T23:11:44.495Z</dcterms:modified>
</cp:coreProperties>
</file>

<file path=docProps/custom.xml><?xml version="1.0" encoding="utf-8"?>
<Properties xmlns="http://schemas.openxmlformats.org/officeDocument/2006/custom-properties" xmlns:vt="http://schemas.openxmlformats.org/officeDocument/2006/docPropsVTypes"/>
</file>