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Executive Summary: Image Analyzer System</w:t>
      </w:r>
    </w:p>
    <w:p>
      <w:pPr>
        <w:pStyle w:val="Heading1"/>
      </w:pPr>
      <w:r>
        <w:t xml:space="preserve">1. What &amp; How</w:t>
      </w:r>
    </w:p>
    <w:p>
      <w:r>
        <w:t xml:space="preserve">The Image Analyzer workspace is a multi-module research and analysis platform designed to translate built-environment evidence into transparent, causal, and actionable insight about human experience. It currently comprises four primary systems that are documented and operational but not yet integrated into a unified pipeline.</w:t>
      </w:r>
    </w:p>
    <w:p>
      <w:r>
        <w:t xml:space="preserve">Article Eater (v20.7.43) is an evidence extraction and synthesis system for academic literature. It converts papers into a structured, seven-panel representation that captures methods, findings, effect sizes, mechanisms, and quality indicators, and it exports evidence in a Bayesian Network format intended to bridge literature and causal modeling.</w:t>
      </w:r>
    </w:p>
    <w:p>
      <w:r>
        <w:t xml:space="preserve">Image Tagger (v3.4.74) is an enterprise-grade tagging and annotation system for architectural images. It provides a deterministic, reproducible science pipeline for extracting visual and semantic attributes, supports human and automated tagging workflows, and includes governance tooling to protect scientific integrity. The system uses a micro-frontend architecture with a unified FastAPI backend and PostgreSQL database.</w:t>
      </w:r>
    </w:p>
    <w:p>
      <w:r>
        <w:t xml:space="preserve">The Graphical Model (v1.0 research build) is a Bayesian causal inference engine that predicts psychological outcomes such as stress, focus, and satisfaction from environmental attributes. It implements a three-layer causal structure (Attributes → Mediators → Outcomes), supports do-calculus interventions, and propagates uncertainty through the full causal chain, with robust diagnostics and provenance tracking.</w:t>
      </w:r>
    </w:p>
    <w:p>
      <w:r>
        <w:t xml:space="preserve">The Knowledge Graph UI is a lightweight graph exploration interface with a static, in-memory backend. It visualizes causal nodes and edges with evidence annotations and is structured to integrate with a database-backed evidence graph, but at present remains a standalone demonstration.</w:t>
      </w:r>
    </w:p>
    <w:p>
      <w:r>
        <w:t xml:space="preserve">From a systems perspective, the intended architecture is clear: Article Eater supplies evidence and rules to the Knowledge Graph, the Knowledge Graph informs priors and structure in the Graphical Model, Image Tagger supplies attributes and tag data for training and validation, and the Graphical Model returns predictions and provenance for graph visualization. The integration plan exists, but the data flow is not yet implemented, so outputs remain siloed.</w:t>
      </w:r>
    </w:p>
    <w:p>
      <w:r>
        <w:t xml:space="preserve">The technical stack spans FastAPI services, PostgreSQL for operational data stores, SQLite for Article Eater’s default configuration, and static data for the current graph explorer. The statistical methods rely on Bayesian inference with PyMC and the NUTS sampler, do-calculus for interventional reasoning, and explicit evidence provenance and governance, providing a foundation for explainable and research-grade decision support.</w:t>
      </w:r>
    </w:p>
    <w:p>
      <w:r>
        <w:t xml:space="preserve">From a multidisciplinary lens, software architects will recognize strong modularity and governance practices alongside a critical integration gap. Vision scientists will note that full computer vision extraction is not yet implemented in the graphical model and that the image-tagging pipeline is deterministic with optional VLM hooks rather than a fully learned stack. Environmental psychologists will see constructs aligned with established mediators and outcomes, while recognizing the current reliance on synthetic data. CNfA experts will find the literature-to-causal modeling alignment compelling, but will also note the lack of end-to-end execution across modules.</w:t>
      </w:r>
    </w:p>
    <w:p>
      <w:r>
        <w:t xml:space="preserve">In terms of maturity, the graphical model is approximately 45 percent complete, with database and statistical engine phases done and statistical rigor scored at 100/100 in internal documentation, while Image Tagger is production-ready in infrastructure and governance, and Article Eater is a mature research build with a working API and worker pipeline.</w:t>
      </w:r>
    </w:p>
    <w:p>
      <w:pPr>
        <w:pStyle w:val="Heading1"/>
      </w:pPr>
      <w:r>
        <w:t xml:space="preserve">2. Innovation &amp; Novelty</w:t>
      </w:r>
    </w:p>
    <w:p>
      <w:r>
        <w:t xml:space="preserve">The core innovation is the planned evidence-to-prediction chain: structured literature extraction (Article Eater), evidence graph representation (Knowledge Graph), causal inference (Graphical Model), and visual attribute grounding (Image Tagger). Most systems stop at either literature synthesis or predictive modeling; this architecture is designed to combine both with traceable causal accountability.</w:t>
      </w:r>
    </w:p>
    <w:p>
      <w:r>
        <w:t xml:space="preserve">Several contributions differentiate the platform. The seven-panel extraction schema captures methods, effect sizes, mechanisms, and quality in a form suitable for causal modeling. The Graphical Model’s Goldilocks functions represent non-monotonic, optimal-level relationships characteristic of environmental psychology, while the explicit separation of observational predictions and do-calculus interventions provides genuine causal interpretability. Image Tagger’s governance-first design with archival and drift protection is uncommon in research tooling and supports reproducibility.</w:t>
      </w:r>
    </w:p>
    <w:p>
      <w:r>
        <w:t xml:space="preserve">Compared to alternatives, typical computer vision pipelines produce opaque predictions without causal provenance, and literature-mining systems produce rules that rarely map directly into causal inference engines. Graph visualization tools generally present relationships without inference or intervention logic. The Image Analyzer approach is therefore differentiated by its emphasis on causal reasoning and evidence traceability rather than solely predictive accuracy.</w:t>
      </w:r>
    </w:p>
    <w:p>
      <w:r>
        <w:t xml:space="preserve">The main technical breakthroughs are a statistically rigorous causal engine, explicit evidence provenance, and a modular data architecture intended for reuse across populations and tasks. The principal limitations are also clear: there is no real training data, the knowledge graph remains demo-only, inter-module integration is unimplemented, and attribute extraction is still heuristic. These gaps define the development risks and also the immediate opportunities for strategic investment.</w:t>
      </w:r>
    </w:p>
    <w:p>
      <w:pPr>
        <w:pStyle w:val="Heading1"/>
      </w:pPr>
      <w:r>
        <w:t xml:space="preserve">3. Future Development &amp; Investment Opportunity</w:t>
      </w:r>
    </w:p>
    <w:p>
      <w:r>
        <w:t xml:space="preserve">The most immediate development priority is to execute the integration phases already defined in the system plan. This includes wiring Article Eater’s BN export into the Knowledge Graph, linking Knowledge Graph outputs to the Graphical Model’s priors and structure, and enabling Image Tagger outputs to feed training and validation for the causal engine. This step will convert a set of strong modules into a coherent product.</w:t>
      </w:r>
    </w:p>
    <w:p>
      <w:r>
        <w:t xml:space="preserve">The next critical step is data acquisition. The Graphical Model currently operates on synthetic data for correctness testing; it requires real images and human ratings to become predictive. A realistic initial target is a dataset of at least 50 images with 30 raters each, enabling statistical training and validation of mediator–outcome relationships. Alongside data collection, a computer vision layer should be implemented to automate attribute extraction, either through a bespoke pipeline or integration of modern vision-language models.</w:t>
      </w:r>
    </w:p>
    <w:p>
      <w:r>
        <w:t xml:space="preserve">Scaling potential is substantial. The architecture can extend to healthcare, education, workplace design, and environmental policy. The micro-frontend and modular API structure are compatible with multi-tenant deployments once data flow is unified, and the Bayesian framework offers interpretability and uncertainty quantification at scale, which is crucial for high-stakes decision environments.</w:t>
      </w:r>
    </w:p>
    <w:p>
      <w:r>
        <w:t xml:space="preserve">The impact case is strong: for research, the platform transforms systematic reviews into quantified and actionable recommendations; for product applications, it enables evidence-backed tools for architects and workplace strategists; for policy, it provides causal claims with provenance appropriate for regulated contexts.</w:t>
      </w:r>
    </w:p>
    <w:p>
      <w:r>
        <w:t xml:space="preserve">The investment case rests on a technically rigorous causal engine that is already implemented, a governance-heavy engineering culture, and a growing market demand for explainable, evidence-based design tools. The primary de-risking milestone is integration coupled with real-world data collection. Funding targeted at a pilot study and a full integration sprint would move the system from theoretical capability to demonstrable, end-to-end evidence-to-prediction outcomes.</w:t>
      </w:r>
    </w:p>
    <w:p>
      <w:r>
        <w:t xml:space="preserve">Calls to action follow directly: internally, prioritize integration, real data collection, and automated attribute extraction before expanding user interfaces; externally, fund a pilot study, evidence-graph implementation, and a complete integration cycle that demonstrates measurable predictive performance with transparent provenance.</w:t>
      </w:r>
    </w:p>
    <w:sectPr>
      <w:pgSz w:w="12240" w:h="15840"/>
      <w:pgMar w:top="1440" w:right="1440" w:bottom="1440" w:left="1440"/>
    </w:sectPr>
  </w:body>
</w:document>
</file>