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 xmlns:w="http://schemas.openxmlformats.org/wordprocessingml/2006/main">
      <w:pPr>
        <w:spacing w:before="240" w:after="80" w:line="276" w:lineRule="auto"/>
        <w:jc w:val="center"/>
      </w:pPr>
      <w:r>
        <w:rPr>
          <w:rFonts w:ascii="Times New Roman" w:hAnsi="Times New Roman" w:cs="Times New Roman" w:eastAsia="Times New Roman"/>
          <w:b/>
          <w:bCs/>
          <w:color w:val="000000"/>
          <w:sz w:val="32"/>
          <w:szCs w:val="32"/>
        </w:rPr>
        <w:t xml:space="preserve">Week 1 Deliverable (Part B): Project Charter, Problem Statement &amp; 5 Core MVP Features</w:t>
      </w:r>
    </w:p>
    <w:p xmlns:w="http://schemas.openxmlformats.org/wordprocessingml/2006/main">
      <w:pPr>
        <w:spacing w:before="40" w:after="60" w:line="276" w:lineRule="auto"/>
        <w:jc w:val="center"/>
      </w:pP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Project BugBountyTrack — Multi-Tenant Vulnerability Disclosure Platform</w:t>
      </w:r>
    </w:p>
    <w:p xmlns:w="http://schemas.openxmlformats.org/wordprocessingml/2006/main">
      <w:pPr>
        <w:spacing w:before="20" w:after="60" w:line="276" w:lineRule="auto"/>
        <w:jc w:val="center"/>
      </w:pPr>
      <w:r>
        <w:rPr>
          <w:rFonts w:ascii="Times New Roman" w:hAnsi="Times New Roman" w:cs="Times New Roman" w:eastAsia="Times New Roman"/>
          <w:b/>
          <w:bCs/>
          <w:color w:val="000000"/>
          <w:sz w:val="22"/>
          <w:szCs w:val="22"/>
        </w:rPr>
        <w:t xml:space="preserve">Document Release State</w:t>
      </w:r>
      <w:r>
        <w:rPr>
          <w:rFonts w:ascii="Times New Roman" w:hAnsi="Times New Roman" w:cs="Times New Roman" w:eastAsia="Times New Roman"/>
          <w:color w:val="000000"/>
          <w:sz w:val="22"/>
          <w:szCs w:val="22"/>
        </w:rPr>
        <w:t xml:space="preserve">: Version 3.2.0 (Gate 1 Certified — Zero-Trust Specification Standard)</w:t>
      </w:r>
    </w:p>
    <w:p xmlns:w="http://schemas.openxmlformats.org/wordprocessingml/2006/main">
      <w:pPr>
        <w:spacing w:before="20" w:after="60" w:line="276" w:lineRule="auto"/>
        <w:jc w:val="center"/>
      </w:pPr>
      <w:r>
        <w:rPr>
          <w:rFonts w:ascii="Times New Roman" w:hAnsi="Times New Roman" w:cs="Times New Roman" w:eastAsia="Times New Roman"/>
          <w:b/>
          <w:bCs/>
          <w:color w:val="000000"/>
          <w:sz w:val="22"/>
          <w:szCs w:val="22"/>
        </w:rPr>
        <w:t xml:space="preserve">Standard Compliance</w:t>
      </w:r>
      <w:r>
        <w:rPr>
          <w:rFonts w:ascii="Times New Roman" w:hAnsi="Times New Roman" w:cs="Times New Roman" w:eastAsia="Times New Roman"/>
          <w:color w:val="000000"/>
          <w:sz w:val="22"/>
          <w:szCs w:val="22"/>
        </w:rPr>
        <w:t xml:space="preserve">: IEEE 830-1998, ISO/IEC/IEEE 29148:2018, RFC 9116, RFC 9580, FIRST.org CVSS v3.1</w:t>
      </w:r>
    </w:p>
    <w:p xmlns:w="http://schemas.openxmlformats.org/wordprocessingml/2006/main">
      <w:pPr>
        <w:pStyle w:val="Heading1"/>
        <w:spacing w:before="240" w:after="100" w:line="276" w:lineRule="auto"/>
        <w:jc w:val="left"/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</w:rPr>
        <w:t xml:space="preserve">1. Project Charter &amp; Academic Control Metadata</w:t>
      </w:r>
    </w:p>
    <w:tbl xmlns:w="http://schemas.openxmlformats.org/wordprocessingml/2006/main">
      <w:tblPr>
        <w:tblW w:w="936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6360"/>
      </w:tblGrid>
      <w:tr>
        <w:trPr>
          <w:tblHeader/>
        </w:trPr>
        <w:tc>
          <w:tcPr>
            <w:tcW w:w="30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Attribute</w:t>
            </w:r>
          </w:p>
        </w:tc>
        <w:tc>
          <w:tcPr>
            <w:tcW w:w="6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Specification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Institution</w:t>
            </w:r>
          </w:p>
        </w:tc>
        <w:tc>
          <w:tcPr>
            <w:tcW w:w="636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Punjab Tianjin University of Technology (PTUT), Lahore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Department</w:t>
            </w:r>
          </w:p>
        </w:tc>
        <w:tc>
          <w:tcPr>
            <w:tcW w:w="636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Department of Software Engineering Technology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Degree Program</w:t>
            </w:r>
          </w:p>
        </w:tc>
        <w:tc>
          <w:tcPr>
            <w:tcW w:w="636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BS Software Engineering Technology (5th Semester Capstone)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Project ID</w:t>
            </w:r>
          </w:p>
        </w:tc>
        <w:tc>
          <w:tcPr>
            <w:tcW w:w="636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PTUT - PRJ - 089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Project Title</w:t>
            </w:r>
          </w:p>
        </w:tc>
        <w:tc>
          <w:tcPr>
            <w:tcW w:w="636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BugBountyTrack — Private Bug Bounty &amp; Vulnerability Disclosure Platform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Category</w:t>
            </w:r>
          </w:p>
        </w:tc>
        <w:tc>
          <w:tcPr>
            <w:tcW w:w="636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9. Cybersecurity, Privacy &amp; LegalTech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Student Author &amp; Lead</w:t>
            </w:r>
          </w:p>
        </w:tc>
        <w:tc>
          <w:tcPr>
            <w:tcW w:w="636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Taha Asadullah (Roll No: 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24-ST-013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, Section: 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SET-B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)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Academic Supervisor</w:t>
            </w:r>
          </w:p>
        </w:tc>
        <w:tc>
          <w:tcPr>
            <w:tcW w:w="636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Sir Umar Hayat (Assistant Professor, PTUT Lahore)</w:t>
            </w:r>
          </w:p>
        </w:tc>
      </w:tr>
      <w:tr>
        <w:tc>
          <w:tcPr>
            <w:tcW w:w="30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Milestone Scope</w:t>
            </w:r>
          </w:p>
        </w:tc>
        <w:tc>
          <w:tcPr>
            <w:tcW w:w="636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Week 1 (Part B): Project Charter, Problem Statement &amp; 5 Core MVP Features</w:t>
            </w:r>
          </w:p>
        </w:tc>
      </w:tr>
    </w:tbl>
    <w:p xmlns:w="http://schemas.openxmlformats.org/wordprocessingml/2006/main">
      <w:pPr>
        <w:spacing w:before="40" w:after="40" w:line="276" w:lineRule="auto"/>
        <w:jc w:val="left"/>
      </w:pPr>
    </w:p>
    <w:p xmlns:w="http://schemas.openxmlformats.org/wordprocessingml/2006/main">
      <w:pPr>
        <w:pStyle w:val="Heading1"/>
        <w:spacing w:before="240" w:after="100" w:line="276" w:lineRule="auto"/>
        <w:jc w:val="left"/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</w:rPr>
        <w:t xml:space="preserve">2. Finalized 1-Paragraph Academic Problem Statement</w:t>
      </w:r>
    </w:p>
    <w:p xmlns:w="http://schemas.openxmlformats.org/wordprocessingml/2006/main">
      <w:pPr>
        <w:ind w:left="360"/>
        <w:spacing w:before="100" w:after="100" w:line="276" w:lineRule="auto"/>
        <w:jc w:val="both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While established vulnerability platforms and source-code hosts offer free entry tiers (such as HackerOne Essential VDP or GitHub Security Advisories), they rely on provider-managed encryption where the platform vendor holds the decryption keys and can access submitted exploit payloads on server infrastructure, or are locked to single-forge repository ecosystems. Teams unwilling to delegate zero-day exploit visibility to third-party platform operators typically fall back to ad-hoc communication channels (email, issue trackers, social media DMs), where—unless senders manually configure PGP—exploit reproduction steps traverse mail servers and shared inboxes without end-to-end encryption, while missing RFC 9116 `security.txt` discovery files and hosted Safe Harbor policy terms leave researchers in legal ambiguity. Furthermore, existing issue trackers and entry-level VDP tiers treat vulnerability resolution as an informal status change ("Closed" or "Resolved"), creating a "fix-and-forget" verification gap where patches are deployed without verifiable Git commit linkage or attested researcher retesting. BugBountyTrack resolves these gaps by delivering a lightweight, multi-tenant Vulnerability Disclosure Platform (VDP) that automates signed RFC 9116 `security.txt` discovery linked to hosted Safe Harbor terms, enforces zero-knowledge client-side OpenPGP exploit payload encryption (RFC 9580 v6 Curve25519), provides deterministic CVSS 3.1 scoring, and governs remediation through an evidence-based, Git-linked retest state machine.</w:t>
      </w:r>
    </w:p>
    <w:p xmlns:w="http://schemas.openxmlformats.org/wordprocessingml/2006/main">
      <w:pPr>
        <w:pStyle w:val="Heading1"/>
        <w:spacing w:before="240" w:after="100" w:line="276" w:lineRule="auto"/>
        <w:jc w:val="left"/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</w:rPr>
        <w:t xml:space="preserve">3. Project Charter: Objectives, Scope &amp; Anti-Goals</w:t>
      </w:r>
    </w:p>
    <w:p xmlns:w="http://schemas.openxmlformats.org/wordprocessingml/2006/main">
      <w:pPr>
        <w:pStyle w:val="Heading2"/>
        <w:spacing w:before="200" w:after="80" w:line="276" w:lineRule="auto"/>
        <w:jc w:val="left"/>
      </w:pP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3.1 Core Engineering Objectives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1.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Zero-Knowledge Payload Isolation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 Ensure the platform server never holds private decryption or signing keys and never processes plaintext vulnerability titles, descriptions, reproduction steps, or PoC attachments.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2.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Standardized Legal &amp; Policy Discovery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 Enable organizations to generate, client-side cleartext-sign (RFC 9116 §2.3), and publish compliant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/.well-known/security.txt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discovery files linking via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Policy: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to Disclose.io-aligned Safe Harbor terms.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3.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Frictionless Dual-Lane Intake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 Support both authenticated researchers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HUNTER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 and 60-second account-less guest submitters equipped with portable, Argon2id-encrypted recovery packages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.bbt-recovery.json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v1).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4.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Deterministic Severity &amp; Remediation Governance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 Eliminate subjective severity disputes via FIRST.org CVSS v3.1 calculation and enforce a strict Git-commit-linked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[0-9a-f]{40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 and researcher-attested retest state machine.</w:t>
      </w:r>
    </w:p>
    <w:p xmlns:w="http://schemas.openxmlformats.org/wordprocessingml/2006/main">
      <w:pPr>
        <w:pStyle w:val="Heading2"/>
        <w:spacing w:before="200" w:after="80" w:line="276" w:lineRule="auto"/>
        <w:jc w:val="left"/>
      </w:pP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3.2 Explicit Scope Boundaries &amp; Anti-Goals (Savour Each Bite Doctrine)</w:t>
      </w:r>
    </w:p>
    <w:p xmlns:w="http://schemas.openxmlformats.org/wordprocessingml/2006/main">
      <w:pPr>
        <w:spacing w:before="80" w:after="8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To guarantee build-proof engineering quality within the academic evaluation timeline, the following boundaries are strictly enforced:</w:t>
      </w:r>
    </w:p>
    <w:tbl xmlns:w="http://schemas.openxmlformats.org/wordprocessingml/2006/main">
      <w:tblPr>
        <w:tblW w:w="936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Scope Category</w:t>
            </w:r>
          </w:p>
        </w:tc>
        <w:tc>
          <w:tcPr>
            <w:tcW w:w="348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In-Scope (Committed Deliverable)</w:t>
            </w:r>
          </w:p>
        </w:tc>
        <w:tc>
          <w:tcPr>
            <w:tcW w:w="348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Out-of-Scope / Deferred Anti-Goals</w:t>
            </w:r>
          </w:p>
        </w:tc>
      </w:tr>
      <w:tr>
        <w:tc>
          <w:tcPr>
            <w:tcW w:w="24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Cryptography</w:t>
            </w:r>
          </w:p>
        </w:tc>
        <w:tc>
          <w:tcPr>
            <w:tcW w:w="348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Browser-side 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openpgp.js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 v6 (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RFC 9580 Curve25519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: Ed25519 + X25519), 64-character SHA-256 hex fingerprints, 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Argon2id S2K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 (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IndexedDB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), multi-defender 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PKESK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 (N ≤ 10), offline recovery key.</w:t>
            </w:r>
          </w:p>
        </w:tc>
        <w:tc>
          <w:tcPr>
            <w:tcW w:w="348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Legacy RSA / OpenPGP v4 keys, server-side key escrow, hardware HSM integration, and 24-word BIP-39 mnemonic seeds.</w:t>
            </w:r>
          </w:p>
        </w:tc>
      </w:tr>
      <w:tr>
        <w:tc>
          <w:tcPr>
            <w:tcW w:w="24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Intake &amp; Triage</w:t>
            </w:r>
          </w:p>
        </w:tc>
        <w:tc>
          <w:tcPr>
            <w:tcW w:w="348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Public &amp; private token-gated programs, Account-Less Guest intake (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.bbt-recovery.json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), two-lane encrypted discussions, neutral 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operational_label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 routing.</w:t>
            </w:r>
          </w:p>
        </w:tc>
        <w:tc>
          <w:tcPr>
            <w:tcW w:w="348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Automated AI/LLM vulnerability triage, automated DAST/scanner execution, and open public researcher marketplaces.</w:t>
            </w:r>
          </w:p>
        </w:tc>
      </w:tr>
      <w:tr>
        <w:tc>
          <w:tcPr>
            <w:tcW w:w="24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Remediation &amp; Verification</w:t>
            </w:r>
          </w:p>
        </w:tc>
        <w:tc>
          <w:tcPr>
            <w:tcW w:w="348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GitHub REST API v3 commit SHA verification, SHA-256 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CONFIG_INFRASTRUCTURE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 hashing, attested retest state machine, Redacted Closure Evidence exports.</w:t>
            </w:r>
          </w:p>
        </w:tc>
        <w:tc>
          <w:tcPr>
            <w:tcW w:w="348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Multi-VCS integrations (GitLab/Bitbucket), automated CI/CD patch generation, and CVSS v4.0 MacroVectors.</w:t>
            </w:r>
          </w:p>
        </w:tc>
      </w:tr>
      <w:tr>
        <w:tc>
          <w:tcPr>
            <w:tcW w:w="24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Commercial &amp; Billing</w:t>
            </w:r>
          </w:p>
        </w:tc>
        <w:tc>
          <w:tcPr>
            <w:tcW w:w="348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Community free tier (500 MB R2, 5 active reports + 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QUOTA_HELD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 queue) and Team tier (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$49/mo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 via Lemon Squeezy Merchant of Record).</w:t>
            </w:r>
          </w:p>
        </w:tc>
        <w:tc>
          <w:tcPr>
            <w:tcW w:w="348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Real-money researcher bounty escrow/payout rails, tax form processing (W-9/W-8BEN), and enterprise SAML/SCIM SSO.</w:t>
            </w:r>
          </w:p>
        </w:tc>
      </w:tr>
    </w:tbl>
    <w:p xmlns:w="http://schemas.openxmlformats.org/wordprocessingml/2006/main">
      <w:pPr>
        <w:spacing w:before="40" w:after="40" w:line="276" w:lineRule="auto"/>
        <w:jc w:val="left"/>
      </w:pPr>
    </w:p>
    <w:p xmlns:w="http://schemas.openxmlformats.org/wordprocessingml/2006/main">
      <w:pPr>
        <w:pStyle w:val="Heading1"/>
        <w:spacing w:before="240" w:after="100" w:line="276" w:lineRule="auto"/>
        <w:jc w:val="left"/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</w:rPr>
        <w:t xml:space="preserve">4. The 5 Core MVP Features</w:t>
      </w:r>
    </w:p>
    <w:p xmlns:w="http://schemas.openxmlformats.org/wordprocessingml/2006/main">
      <w:pPr>
        <w:spacing w:before="80" w:after="8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The following five core features directly resolve the four operational frictions identified through secondary research and workflow modeling and define the Minimum Viable Product (MVP):</w:t>
      </w:r>
    </w:p>
    <w:p xmlns:w="http://schemas.openxmlformats.org/wordprocessingml/2006/main">
      <w:pPr>
        <w:pStyle w:val="Heading2"/>
        <w:spacing w:before="200" w:after="80" w:line="276" w:lineRule="auto"/>
        <w:jc w:val="left"/>
      </w:pP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Feature 1: Hosted RFC 9116 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security.txt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 &amp; Safe Harbor Policy Generator (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FR-2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)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• 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Problem Solved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 Eliminates researcher legal ambiguity and provides standardized, machine-readable discovery for defensive disclosure programs.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• 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Technical &amp; Cryptographic Boundary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Generates an RFC 9116 compliant policy incorporating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Contact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Expires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Encryption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(URI to program OpenPGP v6 public key),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Policy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(URI to Safe Harbor scope),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Preferred-Languages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and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Canonical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following automated DNS TXT domain ownership verification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_bbt-challenge.&lt;domain&gt;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).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Client-Side Cleartext Signing (RFC 9116 §2.3)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 Because the backend is strictly zero-knowledge and never holds private keys, the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security.txt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file is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cleartext-signed inside the Organization Owner's browser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using their local Ed25519 private signing key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openpgp.js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v6). The organization publishes the signed file at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https://[org-domain]/.well-known/security.txt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while BugBountyTrack serves preview and signature verification at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/api/v1/programs/[slug]/security.txt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.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Includes a guided Safe Harbor policy builder based on Disclose.io Core terms defining authorized testing scope and good-faith legal protection (referenced via the RFC 9116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Policy: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directive).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• 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Acceptance Criteria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 Endpoint serves HTTP 200 with MIME type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text/plain; charset=utf-8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passes automated RFC 9116 syntax validation, and verifies cryptographically against the organization's advertised public key.</w:t>
      </w:r>
    </w:p>
    <w:p xmlns:w="http://schemas.openxmlformats.org/wordprocessingml/2006/main">
      <w:pPr>
        <w:pStyle w:val="Heading2"/>
        <w:spacing w:before="200" w:after="80" w:line="276" w:lineRule="auto"/>
        <w:jc w:val="left"/>
      </w:pP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Feature 2: Zero-Knowledge Client-Side OpenPGP v6 Payload Encryption &amp; Neutral Labeling (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FR-3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)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• 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Problem Solved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 Prevents plaintext exploit exposure in transit and guarantees zero-day confidentiality at rest even under a total database breach.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• 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Technical &amp; Cryptographic Boundary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Executes strictly inside the client browser runtime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openpgp.js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v6 via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WebCrypto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and WebAssembly).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Enforces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RFC 9580 Version 6 Curve25519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Ed25519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signing +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X25519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encryption) keys with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64-character hexadecimal SHA-256 fingerprints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. Private keys are encrypted at rest with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Argon2id S2K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t=3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m=64 MiB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p=4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enabled via CSP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'wasm-unsafe-eval'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 and stored exclusively in browser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`IndexedDB`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(never in unencrypted browser storage or server tables).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Encrypts all sensitive report fields—including the vulnerability title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title_ciphertext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), description, reproduction steps, impact assessment, and PoC attachments (up to 25 MiB uploaded directly to Cloudflare R2 via presigned URLs)—using multi-recipient OpenPGP Public-Key Encrypted Session Key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PKESK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 packets addressed to all active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Program Defenders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N ≤ 10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via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PROGRAM_DEFENDER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), the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Offline Organization Master Recovery Key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recovery_public_key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), and the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Submitter/Guest Key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guarded by optimistic concurrency counter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recipient_set_version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.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Captures a server-readable neutral 8-category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operational_label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enum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AUTHENTICATION_BYPASS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INJECTION_VULNERABILITY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INFORMATION_DISCLOSURE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CROSS_SITE_SCRIPTING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ACCESS_CONTROL_ISSUE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SERVER_SIDE_REQUEST_FORGERY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DENIAL_OF_SERVICE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OTHER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 so queue filtering and email/webhook notifications never leak vulnerability titles.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• 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Acceptance Criteria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 Direct inspection of PostgreSQL rows and Cloudflare R2 objects confirms sensitive titles, descriptions, and attachments exist exclusively as OpenPGP ciphertext blocks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-----BEGIN PGP MESSAGE-----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).</w:t>
      </w:r>
    </w:p>
    <w:p xmlns:w="http://schemas.openxmlformats.org/wordprocessingml/2006/main">
      <w:pPr>
        <w:pStyle w:val="Heading2"/>
        <w:spacing w:before="200" w:after="80" w:line="276" w:lineRule="auto"/>
        <w:jc w:val="left"/>
      </w:pP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Feature 3: Deterministic CVSS 3.1 Severity Scoring Engine (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FR-4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)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• 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Problem Solved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 Eliminates subjective severity arguments between ethical researchers and organization triage leads.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• 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Technical Boundary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Implemented as a standalone, deterministic pure TypeScript function adhering strictly to the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FIRST.org Common Vulnerability Scoring System v3.1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specification (using the exact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8.22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exploitability coefficient and standard integer-math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RoundUp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).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Evaluates all 8 Base Metrics: Attack Vector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AV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), Attack Complexity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AC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), Privileges Required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PR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), User Interaction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UI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), Scope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S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), Confidentiality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C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), Integrity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I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), and Availability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).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Computes the numerical Base Score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0.0–10.0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), assigns the qualitative severity rating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NONE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LOW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MEDIUM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HIGH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CRITICAL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), generates the canonical vector string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CVSS:3.1/AV:N/AC:L/PR:N/UI:N/S:U/C:H/I:H/A:H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), and preserves both the researcher's suggested vector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cvss_suggested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 and the defender's verified rating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cvss_score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).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• 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Acceptance Criteria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 Automated verification confirms 100% mathematical parity across all 2,592 base metric combinations and all 45 canonical FIRST.org/NIST test fixtures.</w:t>
      </w:r>
    </w:p>
    <w:p xmlns:w="http://schemas.openxmlformats.org/wordprocessingml/2006/main">
      <w:pPr>
        <w:pStyle w:val="Heading2"/>
        <w:spacing w:before="200" w:after="80" w:line="276" w:lineRule="auto"/>
        <w:jc w:val="left"/>
      </w:pP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Feature 4: Dual-Lane Intake (Account-Less Guest &amp; Authenticated Hunter) &amp; Encrypted Triage Portal (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FR-1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, 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FR-5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, 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FR-8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)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• 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Problem Solved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 Unifies fragmented disclosures into a role-isolated workspace while removing mandatory registration barriers for drive-by researchers.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• 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Technical &amp; Privacy Boundary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Built with Next.js App Router and PostgreSQL (enforcing Row-Level Security via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SET LOCAL app.current_tenant_id = :org_id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), supporting both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Authenticated Hunters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and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Account-Less Guest Reporters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.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Guest submissions generate a durable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guest_actor_id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(UUIDv4), a downloadable Argon2id-encrypted recovery package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.bbt-recovery.json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v1) for multi-device restoration at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/report/restore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and an unguessable tracking URL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/report/track/BBT-RPT-XXXX#token=&lt;access_token&gt;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). On initial load, client JavaScript reads the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#token=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URI fragment into memory and immediately scrubs the address bar via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window.history.replaceState()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while the server stores only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guest_token_hash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.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Enforces two cryptographically isolated communication lanes: (1)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Researcher–Organization Conversation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(encrypted for Submitter + Program Defenders + Org Recovery Key) and (2)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Reviewer Internal Notes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(encrypted strictly for Program Defenders + Org Recovery Key).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Renders decrypted Markdown safely through a strict AST sanitizer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unified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/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remark-parse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/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rehype-sanitize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 blocking stored XSS and external beacons.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• 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Acceptance Criteria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 Authorized Program Defenders and returning Reporters (via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IndexedDB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or imported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.bbt-recovery.json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 decrypt messages strictly in-browser; unauthorized cross-tenant or cross-reporter requests receive HTTP 403 Forbidden.</w:t>
      </w:r>
    </w:p>
    <w:p xmlns:w="http://schemas.openxmlformats.org/wordprocessingml/2006/main">
      <w:pPr>
        <w:pStyle w:val="Heading2"/>
        <w:spacing w:before="200" w:after="80" w:line="276" w:lineRule="auto"/>
        <w:jc w:val="left"/>
      </w:pP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Feature 5: Git-Linked Remediation &amp; Attested Retest State Machine (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FR-6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, 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FR-7</w:t>
      </w:r>
      <w:r>
        <w:rPr>
          <w:rFonts w:ascii="Times New Roman" w:hAnsi="Times New Roman" w:cs="Times New Roman" w:eastAsia="Times New Roman"/>
          <w:b/>
          <w:bCs/>
          <w:color w:val="000000"/>
          <w:sz w:val="26"/>
          <w:szCs w:val="26"/>
        </w:rPr>
        <w:t xml:space="preserve">)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• 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Problem Solved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 Eliminates the "Fix-and-Forget" verification gap by binding vulnerability closure to verifiable code/configuration artifacts and independent retesting.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• 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Technical Boundary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Enforces a deterministic finite state machine governing the vulnerability lifecycle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NEW → TRIAGING → ACCEPTED → FIX_PROPOSED (FIX_COMMITTED) → RETEST_PENDING → [TERMINAL STATE]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).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Advancing a report to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FIX_PROPOSED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FIX_COMMITTED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 requires binding either a verified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40-character GitHub commit SHA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[0-9a-f]{40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verified on the target branch via the GitHub REST API v3) or a client-computed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64-character SHA-256 configuration hash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CONFIG_INFRASTRUCTURE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), plus the target deployment environment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Staging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Pre-Production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Production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).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From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RETEST_PENDING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tickets transition to resolved exclusively under three audited outcomes: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VERIFIED_RESEARCHER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(independent finder confirmation),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VERIFIED_INTERNAL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(defender attestation), or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CLOSED_UNVERIFIED_TIMEOUT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(≥ 14-day grace period with written administrative justification; never counted as a verified fix), while failed retests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RETEST_FAILED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 return the ticket to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ACCEPTED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.</w:t>
      </w:r>
    </w:p>
    <w:p xmlns:w="http://schemas.openxmlformats.org/wordprocessingml/2006/main">
      <w:pPr>
        <w:ind w:left="360"/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◦  Non-remediation closures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CLOSED_INCOMPLETE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RISK_ACCEPTED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/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CLOSED_RISK_ACCEPTED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REJECTED_SPAM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REJECTED_INVALID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DUPLICATE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WITHDRAWN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 are governed by strict reopening and audit rules inside an append-only, SHA-256 hash-chained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prev_hash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) audit ledger (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INSERT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and 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SELECT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 privileges only).</w:t>
      </w:r>
    </w:p>
    <w:p xmlns:w="http://schemas.openxmlformats.org/wordprocessingml/2006/main">
      <w:pPr>
        <w:spacing w:before="40" w:after="40" w:line="276" w:lineRule="auto"/>
        <w:jc w:val="both"/>
      </w:pP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•  </w:t>
      </w:r>
      <w:r>
        <w:rPr>
          <w:rFonts w:ascii="Times New Roman" w:hAnsi="Times New Roman" w:cs="Times New Roman" w:eastAsia="Times New Roman"/>
          <w:b/>
          <w:bCs/>
          <w:color w:val="000000"/>
          <w:sz w:val="24"/>
          <w:szCs w:val="24"/>
        </w:rPr>
        <w:t xml:space="preserve">Acceptance Criteria</w:t>
      </w:r>
      <w:r>
        <w:rPr>
          <w:rFonts w:ascii="Times New Roman" w:hAnsi="Times New Roman" w:cs="Times New Roman" w:eastAsia="Times New Roman"/>
          <w:color w:val="000000"/>
          <w:sz w:val="24"/>
          <w:szCs w:val="24"/>
        </w:rPr>
        <w:t xml:space="preserve">: State machine guards reject any closure transition lacking verified commit/hash evidence, actor attribution, and required justification metadata.</w:t>
      </w:r>
    </w:p>
    <w:p xmlns:w="http://schemas.openxmlformats.org/wordprocessingml/2006/main">
      <w:pPr>
        <w:pStyle w:val="Heading1"/>
        <w:spacing w:before="240" w:after="100" w:line="276" w:lineRule="auto"/>
        <w:jc w:val="left"/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</w:rPr>
        <w:t xml:space="preserve">5. Document Endorsement &amp; Milestone Sign-Off</w:t>
      </w:r>
    </w:p>
    <w:tbl xmlns:w="http://schemas.openxmlformats.org/wordprocessingml/2006/main">
      <w:tblPr>
        <w:tblW w:w="936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900"/>
        <w:gridCol w:w="2460"/>
        <w:gridCol w:w="2600"/>
        <w:gridCol w:w="2400"/>
      </w:tblGrid>
      <w:tr>
        <w:trPr>
          <w:tblHeader/>
        </w:trPr>
        <w:tc>
          <w:tcPr>
            <w:tcW w:w="19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Signatory Role</w:t>
            </w:r>
          </w:p>
        </w:tc>
        <w:tc>
          <w:tcPr>
            <w:tcW w:w="24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Name &amp; Academic Designation</w:t>
            </w:r>
          </w:p>
        </w:tc>
        <w:tc>
          <w:tcPr>
            <w:tcW w:w="26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Status / Signature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Date</w:t>
            </w:r>
          </w:p>
        </w:tc>
      </w:tr>
      <w:tr>
        <w:tc>
          <w:tcPr>
            <w:tcW w:w="19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Submitted By (Student Author)</w:t>
            </w:r>
          </w:p>
        </w:tc>
        <w:tc>
          <w:tcPr>
            <w:tcW w:w="246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Taha Asadullah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 (Roll No: 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24-ST-013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, Section: 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SET-B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, BS Software Engineering Technology, PTUT Lahore)</w:t>
            </w:r>
          </w:p>
        </w:tc>
        <w:tc>
          <w:tcPr>
            <w:tcW w:w="26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i/>
                <w:iCs/>
                <w:color w:val="000000"/>
                <w:sz w:val="22"/>
                <w:szCs w:val="22"/>
              </w:rPr>
              <w:t xml:space="preserve">Signed: Taha Asadullah</w:t>
            </w:r>
          </w:p>
        </w:tc>
        <w:tc>
          <w:tcPr>
            <w:tcW w:w="24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October 2026</w:t>
            </w:r>
          </w:p>
        </w:tc>
      </w:tr>
      <w:tr>
        <w:tc>
          <w:tcPr>
            <w:tcW w:w="19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Reviewed By (Academic Supervisor)</w:t>
            </w:r>
          </w:p>
        </w:tc>
        <w:tc>
          <w:tcPr>
            <w:tcW w:w="246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bCs/>
                <w:color w:val="000000"/>
                <w:sz w:val="22"/>
                <w:szCs w:val="22"/>
              </w:rPr>
              <w:t xml:space="preserve">Sir Umar Hayat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 (Assistant Professor, Department of Software Engineering Technology, PTUT Lahore)</w:t>
            </w:r>
          </w:p>
        </w:tc>
        <w:tc>
          <w:tcPr>
            <w:tcW w:w="26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[ ] Approved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[ ] Revisions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 — Signature: </w:t>
            </w: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[__________________]</w:t>
            </w:r>
          </w:p>
        </w:tc>
        <w:tc>
          <w:tcPr>
            <w:tcW w:w="2400" w:type="dxa"/>
            <w:tcMar>
              <w:top w:w="60" w:type="dxa"/>
              <w:bottom w:w="60" w:type="dxa"/>
              <w:left w:w="120" w:type="dxa"/>
              <w:right w:w="120" w:type="dxa"/>
            </w:tcMar>
          </w:tcPr>
          <w:p xmlns:w="http://schemas.openxmlformats.org/wordprocessingml/2006/main">
            <w:pPr>
              <w:spacing w:before="40" w:after="4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2"/>
                <w:szCs w:val="22"/>
              </w:rPr>
              <w:t xml:space="preserve">[____________]</w:t>
            </w:r>
          </w:p>
        </w:tc>
      </w:tr>
    </w:tbl>
    <w:p xmlns:w="http://schemas.openxmlformats.org/wordprocessingml/2006/main">
      <w:pPr>
        <w:spacing w:before="40" w:after="40" w:line="276" w:lineRule="auto"/>
        <w:jc w:val="left"/>
      </w:pPr>
    </w:p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Times New Roman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Times New Roman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Times New Roman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Times New Roman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Times New Roman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Times New Roman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Times New Roman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Times New Roman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Times New Roman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Times New Roman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Times New Roman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Times New Roman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Times New Roman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Times New Roman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Times New Roman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cs="Times New Roman" w:eastAsia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Times New Roman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Times New Roman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Times New Roman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Times New Roman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Times New Roman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Times New Roman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Times New Roman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Times New Roman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Times New Roman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Times New Roman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Times New Roman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Times New Roman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Times New Roman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Times New Roman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Times New Roman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Times New Roman"/>
        <w:b/>
        <w:bCs/>
      </w:rPr>
    </w:tblStylePr>
    <w:tblStylePr w:type="lastCol">
      <w:rPr>
        <w:rFonts w:ascii="Times New Roman" w:hAnsi="Times New Roman" w:cs="Times New Roman" w:eastAsia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Times New Roman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