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Punjab Tianjin University of Technology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Department of Software Engineering Technology</w:t>
      </w: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FINAL YEAR PROJECT (FYP) ENGINEERING SPECIFICATION</w:t>
      </w:r>
    </w:p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SOFTWARE REQUIREMENTS SPECIFICATION (SRS)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Project: BugBountyTrack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 Multi-Tenant Vulnerability Disclosure Platform with Cryptographic Payload Isolation and Evidence-Based Remediation Traceability</w:t>
      </w:r>
    </w:p>
    <w:p>
      <w:pPr>
        <w:pBdr>
          <w:bottom w:val="single" w:sz="6" w:space="1" w:color="000000"/>
        </w:pBdr>
        <w:spacing w:before="80" w:after="80"/>
      </w:pP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&amp; Engineering Parameter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Student Author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 Number / Student ID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 2024–2028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/ Section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24-SET-Fall / Section SET-B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Official Student Email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24-st-013@students.ptut.edu.pk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FYP Project Supervisor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Identifier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PTUT - PRJ - 089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Department Sub-Field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 Cybersecurity, Privacy &amp; LegalTech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Milestone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Software Requirements Specification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Gate 1: DoR Part II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Standard Compliance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IEEE Std 830-1998 / ISO/IEC/IEEE 29148:2018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Client Platform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Modern Web (Next.js 14+ App Router, React 18+, TypeScript 5.x, Tailwind CSS, OpenPGP.js v6)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Backend &amp; API Engine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Unified Next.js Fullstack (Serverless API Routes on Node.js 22 LTS)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Database Architecture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PostgreSQL 16 (Neon Serverless Cloud) / Prisma ORM 5.x (Row-Level Security &amp; Append-Only Audit)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Supporting Deliverable Document (Google Drive Link)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Deliverable Document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Scope Covered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Google Drive Link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Formal IEEE 830 Software Requirements Specification (`SRS.docx`)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Complete IEEE 830 SRS, Functional Requirements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Formal Use Case Specifications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4 UML Behavioral Diagrams, Quantifiable NFRs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Traceability Matrix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View IEEE 830 Software Requirements Specification (Google Drive)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Table of Contents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Introduction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1.1 Purpose &amp; Target Scope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1.2 Document Conventions &amp; Priority Schema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1.3 Intended Audience &amp; Stakeholder Matrix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1.4 Problem Statement &amp; Alignment with Week 1 Discovery Baseline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Overall Description &amp; Cryptographic Protection Boundary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2.1 System Context &amp; Core Architectural Overview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2.2 Defensible Protection Boundary &amp; Cryptographic Assumptions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2.3 User Classes &amp; Target Personas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2.4 Operating Environment &amp; Technical Bounds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2.5 Design &amp; Implementation Constraints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Specific Functional Requirements (FR)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3.1 Multi-Tenant Workspaces, Onboarding &amp; Access Governance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3.2 RFC 9116 Policy &amp; Safe Harbor Generator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3.3 Browser-Side OpenPGP Cryptographic Pipeline &amp; Neutral Labeling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3.4 Deterministic CVSS 3.1 Base Scoring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3.5 Confidential Triage, Dual-Lane Threading &amp; SLA Timers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3.6 Git-Linked Remediation &amp; Evidence Verification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4)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3.7 Attested Retest State Machine, Accountable Closure &amp; Redacted Exports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3.8 Application Hardening, Defensive Controls &amp; Storage Quotas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System Modeling &amp; UML Behavioral Specifications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4.1 Formal Textual Use Case Specifications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4.2 System Use Case Diagram (Figure 4.1)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4.3 Sequence Diagram: Browser-Side OpenPGP Submission (Figure 4.2)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4.4 Sequence Diagram: In-Browser Decryption &amp; Confidential Triage (Figure 4.3)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4.5 State Machine Diagram: Remediation &amp; Attested Retest Lifecycle (Figure 4.4)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External Interface Requirements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5.1 User Interfaces &amp; Screen Catalog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Quantifiable Non-Functional Requirements (Latency, Security &amp; Uptime)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Verification, Acceptance Criteria &amp; Requirements Traceability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7.1 Bidirectional Requirements Traceability Matrix (RTM)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7.2 Verification Test Pyramid &amp; Acceptance Criteria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Document Endorsement &amp; Milestone Sign-Off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1. Introduction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1.1 Purpose &amp; Target Scope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Software Requirements Specification (SRS) establishes the formal engineering requirements baseline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It defines the functional behaviors, zero-knowledge cryptographic boundaries, deterministic severity calculation engines, formal Use Case specifications, UML behavioral models, and quantifiable non-functional requirements (latency, security, and uptime) for our Final Year Project prototype, conforming strictly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IEEE Std 830-1998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ISO/IEC/IEEE 29148:2018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1.2 Document Conventions &amp; Priority Schema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requirement in this specification is assigned a unique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Functional Requirements,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Non-Functional Requirements,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Use Cases) and categorized by implementation priority: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P1 (Mandatory Core MVP)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Essential functionality required for the 5 Core MVP Features, cryptographic payload isolation, and academic evaluation.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P2 (Important Operational Governance)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Secondary capabilities that strengthen multi-device recovery, SLA tracking, domain verification, and auditability.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1.3 Intended Audience &amp; Stakeholder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Stakeholder Role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Interaction with Specification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Primary Concerns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 (Student Author)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Implementation lead; responsible for delivering a verifiable, type-safe codebase adhering to this specification.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Technical feasibility, cryptographic soundness, architectural clarity, and automated test coverage.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 (Academic Supervisor)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Evaluator; reviews IEEE 830 requirements rigor, Use Case completeness, state machine validity, and empirical verification.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compliance, formal modeling accuracy, quantifiable NFR metrics, and defense readiness.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Software Engineering Peers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Participants in controlled usability and adversarial security evaluation across target applications.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Clarity of vulnerability submission workflow, triage ergonomics, and retest attestation flow.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1.4 Problem Statement &amp; Alignment with Week 1 Discovery Baseline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While established vulnerability platforms and source-code hosts offer free entry tiers (such as HackerOne Essential VDP or GitHub Security Advisories), small and medium software engineering teams (5–50 developers) still face a critical security and workflow gap: entry-level third-party platforms store raw exploit proofs-of-concept (PoCs)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server-managed plaintext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vendor infrastructure (or lock reporting to a single Git forge), causing security-conscious teams to fall back to ad-hoc channels like generic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security@company.com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email inboxes, shared spreadsheets, and standard issue trackers. Those ad-hoc channels lack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9116 `security.txt` policy discovery and legal Safe Harbor clarity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expose unpatched zero-day vulnerability payloads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plaintext across mail servers and ticket databases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rely 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inconsistent subjective severity guesses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instead of deterministic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mathematics, and allow developers to mark security tickets "Closed"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linking a verified remediation Git commit SHA (or configuration hash) or requiring an attested retest by the reporting 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directly resolves these four operational frictions through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five core MVP features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9116 `security.txt` Policy &amp; Safe Harbor Engine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Zero-Knowledge Client-Side OpenPGP Payload Encryption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Deterministic CVSS v3.1 Base Severity Calculator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 Commit SHA &amp; Configuration Hash Remediation Verifier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Attested Retest State Machine &amp; Append-Only Audit Ledger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2. Overall Description &amp; Cryptographic Protection Boundary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2.1 System Context &amp; Core Architectural Overview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BugBountyTrack operates across three logical boundaries (detailed architectural topology and Data Flow Diagrams are specified in the Week 3 Architecture Deliverable):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Browser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14+ App Router, React 18+, Tailwind CSS,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client-side encryption/decryption,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AST sanitizer, and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Application API Gateway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Route Handlers running on Node.js 22 LTS, enforcing server-side Role-Based Access Control (RBAC), database-backed session authentication, SLA countdown monitoring, presigned Cloudflare R2 upload URL generation, and GitHub REST API v3 commit/branch validation.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&amp; Storage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Neon Serverless PostgreSQL 16 (enforcing tenant Row-Level Security and an append-only hash-chained audit ledger) and Cloudflare R2 (storing client-encrypted binary PoC attachments).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2.2 Defensible Protection Boundary &amp; Cryptographic Assumptions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Client-Side OpenPGP Payload Isolation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Vulnerability titles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descriptions, reproduction steps, and PoC attachments are encrypted in the submitter's browser using OpenPGP multi-recipient packets prior to network transit. The server and database persist and route ciphertext only.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Algorithm Pinning &amp; Performance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cryptographic keys are standardized exclusively 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Version 6 Ed25519 (Signing) and X25519 (Encryption)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Curve25519 keys (targeting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bare key generation as an empirical benchmark target)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64-character hexadecimal SHA-256 fingerprints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Legacy RSA-4096 and OpenPGP v4 keys are excluded to eliminate browser UI freezes and satisfy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total encryption latency).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Key Storage &amp; Protection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Private keys in browser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localStorage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usage) are encrypted using OpenPGP's native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 S2K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string-to-key derivation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t=3, m=65536, p=4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introducing an intentional, estimated cryptographic delay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modern client hardware to resist offline brute-force attacks while separating login passwords from local encryption passphrases.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Account-Less (Guest) Vulnerability Intake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External researchers can submit reports without registering an account. The browser autonomously generates an ephemeral RFC 9580 v6 Curve25519 keypair, encrypts the report to the target program's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offline recovery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ephemeral report key, and receives an opaque Secret Tracking URL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/report/track/BBT-RPT-XXXX#token=&lt;secret&gt;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a downloadable versioned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Guest Recovery Package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enabling multi-device restoration and retest attestation.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Offline 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Generated in-browser during tenant onboarding, the public recovery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included as an additional Public-Key Encrypted Session Key (PKESK) recipient on all reports. The private recovery key is exported offline by the Organization Owner, and program activation is gated on a mandatory in-browser test decryption challenge—ensuring disaster recovery without server-side key escrow.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Dual-Lane Recipient Isolation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Researcher–Organization conversation messages are encrypted for the Submitter + Program Defenders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up to 10 authorized defenders) + Organization Recovery Key; Reviewer Internal Notes are encrypted strictly for Program Defenders + Organization Recovery Key, excluding the researcher.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Optimistic Concurrency Guard (`recipient_set_version`)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Each program keyring maintains an integer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counter; report submissions encrypted against a stale defender roster are rejected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client refreshes the recipient keyring automatically.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Historical-Access Isolation &amp; Audited Session Re-Wrapping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Newly assigned defenders receive decryption access only to reports submitted after their assignment. Granting access to a historical report requires an existing authorized defender to locally decrypt the report's AES-256 session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re-wrap it with the new defender's public X25519 subkey, and append the PKESK packet, recording an immutable audit event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Browser Trust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Client-side cryptography isolates sensitive exploit payloads from backend database breaches, cloud snapshot leaks, and untrusted database administrators. Within the standard web security model, the delivered client web application (HTML/JS protected by Subresource Integrity and strict Content Security Policy) and the server's public-key distribution endpoint are trusted to serve authentic code and public keys.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Tamper-Evident Hash-Chained Audit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Immutability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 is enforced at the PostgreSQL permission layer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INSERT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 only; zero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grants) combined with a cryptographic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 linking every lifecycle transition.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2.3 User Classes &amp; Target Personas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Aligned with the Week 1 Discovery Report, the system serves two primary user personas and two supporting organizational roles: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 1: Alex Rivera — "The Hunter" (External Ethical Security Researcher / Guest Hunter)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Independent security researcher and cybersecurity student discovering web and API flaws. Requires explicit RFC 9116 Safe Harbor protection, frictionless account-less or authenticated submission, client-side zero-knowledge encryption, deterministic CVSS v3.1 scoring, and an attested retest workflow before ticket closure.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 2: Sarah Chen — "The Defender" (Startup Engineering &amp; Security Triage Lead / `ORG_DEFENDER`)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Full-stack engineering lead managing vulnerability remediation across a 15-developer engineering team. Requires encrypted intake that keeps raw zero-day exploits out of plaintext databases/emails, dual-lane discussion (public researcher thread vs. private internal engineering notes), objective CVSS v3.1 vectors, GitHub commit SHA / configuration hash fix verification, and redacted closure exports.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Owner (`ORG_OWNER`)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Senior engineering manager or CTO who provisions the tenant workspace, verifies domain ownership via DNS TXT challenge, exports the offline Organization Master Recovery Key, assigns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members, and cleartext-signs the organization's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policy.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Read-Only Stakeholder / Auditor (`ORG_READONLY`)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Executive or compliance reviewer who inspects non-sensitive program metadata, SLA countdown compliance, and hash-chained audit logs without decrypting raw exploit payloads.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2.4 Operating Environment &amp; Technical Bounds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Evergreen desktop and mobile web browsers (Chromium &gt;= 110, Firefox &gt;= 110, Safari &gt;= 16.4) supporting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WebAssembly,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Node.js 22 LTS executing Next.js 14+ App Router serverless route handlers (maximum execution timeout: 15 seconds per API request).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Database &amp; Object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PostgreSQL 16 on Neon Serverless Cloud with Row-Level Security (RLS) via Prisma ORM 5.x, paired with Cloudflare R2 S3-compatible object storage for encrypted binary attachments.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2.5 Design &amp; Implementation Constraints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Zero-Cost Academic Infrastructure Ceiling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Operates strictly within free developer cloud tiers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$0.00/month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total cost of ownership) with bounded per-tenant academic evaluation quotas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PostgreSQL database storage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Cloudflare R2 encrypted object storage per tenant).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 Zero-Knowledge Server Invariant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shall never receive, log, or persist user passphrases, unencrypted private keys, or plaintext vulnerability titles, descriptions, or proof-of-concept payloads.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3. Specific Functional Requirements (FR)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3.1 Multi-Tenant Workspaces, Onboarding &amp; Access Governance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FR-1.1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system shall support multiple isolated organization workspaces within a single PostgreSQL database using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foreign key on all tenant-scoped entities.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shall enforce Role-Based Access Control (RBAC) across four distinct roles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enforce program-level decryption and triage authorization via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relation (verifying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user.organization_id == program.organization_id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Users shall register and authenticate via email and Argon2id/Bcrypt-hashed passwords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cost &gt;= 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backed by database-persisted session tokens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SameSite=Lax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cookies. Password resets shall immediately revoke all active session records for the user.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accounts shall support Time-Based One-Time Password (TOTP, RFC 6238) Multi-Factor Authentication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totp_secret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at rest using AES-256-GCM.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FR-1.4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provide a Guided Onboarding Wizard enabling organization owners to complete workspace setup—domain DNS TXT verification, asset scope definition, in-browser Curve25519 key generation,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export with a mandatory client-side test decryption challenge, and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signing—within 15 minutes.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 (P2,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support both public disclosure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private invitation-only programs accessible via tokenized invitation links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/programs/[slug]/join?token=...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server shall store only the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each invitation token and reject uninvited submissions to private programs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provide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Account-Less (Guest) Vulnerability Intake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external researchers can submit encrypted vulnerability reports without registering an account: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Durable Guest Actor Identity (`guest_actor_id`)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persistent UUIDv4 generated at submission time and referenced across all subsequent discussion messages, retest attestations, and audit events so token rotation never breaks historical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Guest Access Token (`guest_token_hash`)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high-entropy bearer token issued upon submission to authorize HTTP retrieval of the encrypted report record; the server persists only its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Ephemeral Report Private Key (`K_report_priv`)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RFC 9580 v6 Curve25519 private key generated in-browser and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decrypt the report session key locally.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Versioned Downloadable Guest Recovery Package (`.bbt-recovery.json`)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exportable JSON file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version: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containing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report_id, guest_actor_id, access_token, key_format: "openpgp-rfc9580-v6", key_fingerprint, encrypted_private_key, checksum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protected with Argon2id S2K.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URI Fragment Protection &amp; Address Bar Scrubbing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Secret Tracking URLs shall be formatted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/report/track/BBT-RPT-XXXX#token=&lt;access_token&gt;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bearer token is never transmitted in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request lines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Referer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headers. Client JavaScript shall read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#token=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fragment into memory on load and immediately scrub the address bar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window.history.replaceState(null, '', window.location.pathname)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Multi-Device Restoration (`/report/restore`)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Guests switching browsers or devices shall be able to upload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package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verify its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checksum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restore their private key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resume encrypted dialogue and retest attestation.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3.2 RFC 9116 Policy &amp; Safe Harbor Generator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1)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FR-2.1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generate a standards-compliant RFC 9116 policy manifest available for preview and download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/api/v1/programs/[slug]/security.txt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containing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365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automated 30-day renewal warnings),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Acknowledgments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Preferred-Languages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Canonical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directives.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FR-2.2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shall be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cleartext-signed in the client browser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-----BEGIN PGP SIGNED MESSAGE-----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using the organization's private Ed25519 signing key without transmitting the private key to the server. The organization owner can download the cleartext-signed file for deployment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FR-2.3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verify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policies in-browser using the organization's advertised public signing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fingerprint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verified as a 64-character SHA-256 hexadecimal string).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FR-2.4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policy builder shall provide structured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In-Scope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Out-of-Scope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OUT_OF_SCOPE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asset tables (Domains, Wildcards, APIs, Repositories) and standardized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Safe Harbor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legal clauses (adapted from Disclose.io Core terms) authorizing good-faith security testing within scope.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FR-2.5 (P2,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verify domain ownership before activating a public program by querying Node.js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dns.promises.resolveTxt()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 unique challenge token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_bbt-challenge.&lt;domain&gt;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3.3 Browser-Side OpenPGP Cryptographic Pipeline &amp; Neutral Labeling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FR-3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2)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FR-3.1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client browser shall generate OpenPGP keypairs pinned strictly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Version 6 Curve25519 (`Ed25519` for signing, `X25519` for encryption)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64-character hexadecimal SHA-256 fingerprints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Generating bare Curve25519 keypairs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established as an empirical benchmark target on modern browsers. Legacy RSA-4096 and OpenPGP v4 keys are excluded.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FR-3.2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Private keys shall be stored locally in browser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(never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localStorage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encrypted using OpenPGP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 S2K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t=3, m=65536, p=4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To permit WebAssembly execution of Argon2id within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application Content Security Policy (CSP) shall include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'wasm-unsafe-eval'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forbidding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'unsafe-inline'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'unsafe-eval'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submitting a report, the client browser shall encrypt all sensitive fields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vulnerability description, reproduction steps, impact analysis, and PoC attachments) into a multi-recipient OpenPGP packet encrypted for: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All active authorized defenders assigned to the program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(up to 10 defenders),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The organization's offline master recovery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The reporting researcher's public encryption key (or ephemeral guest report key).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submission request shall include the program's current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if the defender roster changed concurrently, the server shall return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the browser refreshes the keyring and re-encrypts automatically.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FR-3.4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the specific vulnerability title is encrypted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client shall require the submitter to select a coarse, server-readable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neutral operational category 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AUTHENTICATION_BYPASS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INJECTION_VULNERABILITY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INFORMATION_DISCLOSURE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CROSS_SITE_SCRIPTING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ACCESS_CONTROL_ISSUE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DENIAL_OF_SERVICE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CRYPTOGRAPHIC_CONFIGURATION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OTHER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support safe queue filtering and non-leaking notifications without exposing exploit specifics.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Proofs-of-concept and binary attachments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be encrypted in-browser and uploaded directly from the client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short-lived presigned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URLs issued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bypassing serverless function payload limits.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FR-3.6 (P2,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During onboarding, the Organization Owner must export the Argon2id-protected private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offline and pass a mandatory in-browser decryption challenge. Upon key lock or logout, the client shall execute strict memory hygiene: temporary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are zeroized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ephemeral keys are deleted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all in-memory JavaScript object references are immediately nullified.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3.4 Deterministic CVSS 3.1 Base Scoring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FR-4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3)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FR-4.1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implement a pure, zero-dependency TypeScript calculation engine computing FIRST.org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Base Scores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mathematical parity across all 45 canonical FIRST.org and NIST NVD test vectors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documented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the official FIRST.org exploitability coefficient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`8.22`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function to 1 decimal place.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FR-4.2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calculator shall evaluate all 8 standard Base metrics: Attack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AV:N/A/L/P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Attack Complexity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AC:L/H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Privileges Required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adjusting weights when Scope is Changed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User Interaction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UI:N/R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Scope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S:U/C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Confidentiality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Integrity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Availability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FR-4.3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engine shall provide bidirectional parsing and serialization between interactive metric selections and canonical CVSS v3.1 vector strings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CVSS:3.1/AV:_/AC:_/PR:_/UI:_/S:_/C:_/I:_/A:_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mapping scores deterministically to Qualitative Severity Ratings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None: 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0.1–3.9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4.0–6.9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7.0–8.9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9.0–10.0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FR-4.4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relational schema shall preserve both the researcher's initial suggested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the defender's official assessed score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recording the assessing defender's user ID and mandatory written justification in the audit ledger.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3.5 Confidential Triage, Dual-Lane Threading &amp; SLA Timers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FR-5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FR-5.1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reviewers shall unlock their private X25519 key in-browser using their local passphrase to decrypt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report bodies, and encrypted R2 attachments on demand.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FR-5.2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shall enforce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Dual-Lane Encrypted Threading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1 (`RESEARCHER_ORG` Conversation)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Encrypted for the Submitter +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2 (`REVIEWER_INTERNAL` Notes)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Encrypted strictly for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mathematically excluding the reporting researcher's public key.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FR-5.3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Outbound email notifications (via Resend/Postmark) and webhook alerts shall transmit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operational metadata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 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 Transition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portal link), containing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vulnerability titles, descriptions, or comments.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FR-5.4 (P2,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system shall track severity-driven Service Level Agreement (SLA) countdown targets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48h initial triage / 14d remediation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72h triage / 30d remediation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7d triage / 90d remediation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14d triage / 180d remediation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displaying visual countdown badges and triggering metadata-only alerts via an hourly scheduled check.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 (P2,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Reviewers may link a duplicate report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a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in-browser verification without exposing the parent report's encrypted contents to the duplicate submitter.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3.6 Git-Linked Remediation &amp; Evidence Verification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FR-6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defender cannot transition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vulnerability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submitting structured remediation evidence under one of two verification paths: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evidence, the backend shall query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REST API v3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/repos/{owner}/{repo}/compare/{base}...{head}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cryptographically verify that the 40-character hexadecimal Git Commit SHA exists, record the commit author and timestamp, and confirm that the commit is present on the designated remediation branch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identical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before permitting the transition.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FR-6.3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 (such as cloud IAM policy updates, firewall rules, or server configuration changes without a source code commit), the client browser shall compute the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64-character SHA-256 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the configuration artifact via WebCrypto and bind it alongside a written remediation summary.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FR-6.4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remediation record shall capture the target deployment environment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version tag where the fix has been deployed for verification.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3.7 Attested Retest State Machine, Accountable Closure &amp; Redacted Exports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enforce a deterministic 13-state vulnerability lifecycle finite state machine (FSM), rejecting any unpermitted state transition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Bad Request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pBdr>
          <w:left w:val="single" w:sz="12" w:space="8" w:color="000000"/>
        </w:pBdr>
        <w:spacing w:before="20" w:after="20" w:line="240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0"/>
          <w:szCs w:val="20"/>
        </w:rPr>
        <w:t xml:space="preserve">NEW -&gt; TRIAGING -&gt; ACCEPTED -&gt; FIX_PROPOSED -&gt; RETEST_PENDING -&gt; [TERMINAL CLOSURE STATES]</w:t>
      </w:r>
    </w:p>
    <w:p>
      <w:pPr>
        <w:pBdr>
          <w:left w:val="single" w:sz="12" w:space="8" w:color="000000"/>
        </w:pBdr>
        <w:spacing w:before="20" w:after="20" w:line="240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0"/>
          <w:szCs w:val="20"/>
        </w:rPr>
        <w:t xml:space="preserve">|               |</w:t>
      </w:r>
    </w:p>
    <w:p>
      <w:pPr>
        <w:pBdr>
          <w:left w:val="single" w:sz="12" w:space="8" w:color="000000"/>
        </w:pBdr>
        <w:spacing w:before="20" w:after="20" w:line="240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0"/>
          <w:szCs w:val="20"/>
        </w:rPr>
        <w:t xml:space="preserve">v               v</w:t>
      </w:r>
    </w:p>
    <w:p>
      <w:pPr>
        <w:pBdr>
          <w:left w:val="single" w:sz="12" w:space="8" w:color="000000"/>
        </w:pBdr>
        <w:spacing w:before="20" w:after="20" w:line="240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0"/>
          <w:szCs w:val="20"/>
        </w:rPr>
        <w:t xml:space="preserve">REJECTED_INVALID / NEED_MORE_INFO /</w:t>
      </w:r>
    </w:p>
    <w:p>
      <w:pPr>
        <w:pBdr>
          <w:left w:val="single" w:sz="12" w:space="8" w:color="000000"/>
        </w:pBdr>
        <w:spacing w:before="20" w:after="20" w:line="240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0"/>
          <w:szCs w:val="20"/>
        </w:rPr>
        <w:t xml:space="preserve">DUPLICATE       RETEST_FAILED (loops back to ACCEPTED)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FR-7.2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 report shall transition to final remediation closure exclusively via one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three distinct terminal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reporting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re-tested the fix on the target environment and confirmed the vulnerability is neutralized.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certified the fix internally with empirical test notes and explicit conflict-of-interest disclosure (recording whether the verifier authored the patch).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Closed after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14-day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researcher inactivity window following a retest invitation, requiring an explicit defender action and written administrative rationale. Never counted as a verified fix.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FR-7.3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Additional non-remediation terminal states shall be strictly separated: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failed to respond to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clarification request within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initial triage.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Formal executive risk acceptance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Lead Defender with a mandatory written security rationale and scheduled review date (never counted as a remediated vulnerability).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Direct disposal of automated scanner noise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(non-reopenable).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Out-of-scope or non-reproducible submission with mandatory policy citation.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Linked to a canonical pre-existing report ID.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Voluntarily retracted by the submitting researcher (non-reopenable).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FR-7.4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an empirical retest demonstrates that the patch is incomplete or bypassed, submitting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shall automatically transition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preserving the failed retest evidence in the append-only audit log.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FR-7.5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Reports remaining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researcher response shall automatically transition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the scheduled timeout check.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FR-7.6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Closed reports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 mandatory audit justification if a regression occurs or new evidence is provided.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permanently terminal.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 (P2,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generate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Redacted Closure Evidence Exports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 both PDF and JSON formats) documenting the report ID,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CVSS v3.1 score and vector, lifecycle timestamps, verified Git commit SHA/branch or SHA-256 config hash, deployment environment, retest attestation outcome, and SHA-256 audit chain proof—while excluding all decrypted exploit payloads so teams can share clean remediation proof with academic evaluators or external auditors.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3.8 Application Hardening, Defensive Controls &amp; Storage Quotas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FR-8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FR-8.1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decrypted Markdown descriptions, comments, and reproduction steps shall be parsed into an Abstract Syntax Tree (AST) and sanitized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remark-parse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a strict allowlist prior to DOM rendering, neutralizing 100% of Stored Cross-Site Scripting (XSS) vectors. Raw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dangerouslySetInnerHTML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prior AST sanitization is forbidden.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PostgreSQL 16 Row-Level Security (RLS) policies shall be enforced on all tenant-scoped tables, dynamically binding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app.current_tenant_id = :org_id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every database transaction to prevent cross-tenant Horizontal Privilege Escalation (IDOR).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FR-8.3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Public vulnerability submission and authentication endpoints shall enforce shared-store rate limiting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 submissions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Turnstile CAPTCHA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verification to mitigate automated spam floods.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FR-8.4 (P2,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Tenant storage quotas shall be enforced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`50 MB` PostgreSQL database volume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 GB` Cloudflare R2 encrypted object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academic evaluation tenant. Presigned upload issuance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display administrative warnings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90%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quota utilization and reject uploads exceeding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quota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paired with an automated orphan attachment cleanup job.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 (P1, 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shall enforce 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append-only cryptographic hash chain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database privileges for the application runtime role shall grant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INSERT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(revoking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every event row shall compute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row_hash = SHA-256(prev_hash || report_id || actor_id || action || timestamp)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4. System Modeling &amp; UML Behavioral Specifications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4.1 Formal Textual Use Case Specifications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UC-01: Submit Encrypted Vulnerability Report &amp; Generate Recovery Package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is viewing an organization's active public program page (or holds a valid private program invitation token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selects an in-scope target asset, chooses a coarse neutral category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enum), and inputs the specific vulnerability title, technical reproduction steps, and optional PoC attachment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Client browser generates an ephemeral RFC 9580 v6 Curve25519 keypair in memory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benchmark target) and fetches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encryption subkeys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the offline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Client browser generates an ephemeral AES-256 session key, encrypts the title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description, and PoC into an OpenPGP ciphertext envelope, and wraps the session key in PKESK packets for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subkeys,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reporter's key.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If an attachment is included, the browser requests a presigned URL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streams the encrypted binary directly to Cloudflare R2.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Browser dispatches an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request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R2 object metadata.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Server validates Cloudflare Turnstile CAPTCHA, rate limits, tenant storage quota,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then persists the ciphertext in PostgreSQL and appends a genesis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For guest submitters, the system issues a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stores the ephemeral private key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displays the Secret Tracking URL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/report/track/BBT-RPT-XXXX#token=&lt;secret&gt;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scrubbed immediately from the address bar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triggers download of the versioned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Guest Recovery Package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Report enters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Organization public key missing or 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blocks submission and alerts user.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5a. Stale `recipient_set_version`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browser refreshes recipient keyring and re-encrypts automatically.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6a. Rate limit (`&gt; 5 req/hr/IP`) or storage quota (`&gt; 100%`) 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 Too Many Requests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UC-02: Decrypt &amp; Triage Vulnerability Report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 and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membership;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Defender navigates to the report triage desk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Browser fetches the encrypted report record and retrieves the defender's encrypted private key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Defender enters their local encryption passphrase to unlock the Argon2id S2K-protected private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intentional cryptographic delay).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decrypts the AES-256 session key,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sanitizes the Markdown AST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renders sanitized HTML in memory.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Defender reviews the finding, posts encrypted comments in either the Researcher–Organization conversation lane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Reviewer Internal Notes lane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evaluates the 8 CVSS v3.1 Base metrics, inputs a written scoring justification, and transitions the report state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Server persists the official CVSS v3.1 vector and score and appends a SHA-256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Passphrase incorrect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displays decryption error; private key remains locked.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4a. Insufficient reproduction details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state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posts a clarification request (auto-transitions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researcher inactivity).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4b. Duplicate submission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links canonical parent Report ID and transitions state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4c. Out of scope or 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cites policy rule and transitions state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4d. Automated scanner 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state directly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UC-03: Propose Remediation Evidence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Defender opens the Remediation Proposal modal, selects evidence type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specifies the target deployment environment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A (`CODE_COMMIT`)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inputs the GitHub repository, target branch, and 40-character Git Commit SHA. Server queries the GitHub REST API v3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/repos/{owner}/{repo}/commits/{sha}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/compare/{base}...{head}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confirm commit existence, author metadata, and branch inclusion.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B (`CONFIG_INFRASTRUCTURE`)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computes a 64-character SHA-256 hash of the configuration artifact via WebCrypto and submits it with the defender's remediation summary.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Server persists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transitions the report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records an immutable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dispatches a metadata-only retest invitation notification to the researcher.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Commit SHA not found or not on target 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report remains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UC-04: Execute Attested Retest &amp; Export Closure Evidence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reviews the linked Git commit SHA or configuration hash and re-tests the vulnerability against the designated deployment environment.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Researcher submits an encrypted retest attestation confirming the vulnerability is resolved.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Server transitions the report state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records an immutable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Defender generates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Redacted Closure Evidence Export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(PDF or JSON) capturing the lifecycle timestamps, CVSS v3.1 score/vector, verified commit SHA/config hash, deployment environment, and SHA-256 audit chain verification—excluding all raw exploit payloads.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Vulnerability still exploitable (`RETEST_FAILED`)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submits reproduction proof of the bypass; report automatically loops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2b. Internal verification (`VERIFIED_INTERNAL`)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certifies the fix internally with empirical test evidence and conflict-of-interest disclosure.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2c. Researcher unresponsive (`&gt;= 14 days`)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closes report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mandatory administrative rationale.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UC-05: Restore Guest Session via Recovery Package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Account-Less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Guest possesses a previously downloaded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Recovery Package on a clean browser or secondary device.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Guest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selects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validates the JSON schema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version: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verifies the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checksum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imports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encrypted_private_key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into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authenticates the session using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while preserving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Browser redirects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decrypts all historical messages and retest requests seamlessly.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Corrupted file or invalid SHA-256 checksum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rejects import and displays an integrity error without making any network request.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UC-06: Onboard Tenant, Verify DNS &amp; Configure RFC 9116 / Master Recovery Key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user creating or configuring an organization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Owner completes the Guided Onboarding Wizard and publishes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_bbt-challenge.&lt;domain&gt;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DNS TXT record verified by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generates RFC 9580 v6 Curve25519 defender keys and the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Owner downloads the Argon2id-protected private recovery key offline and passes the mandatory in-browser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zeroized immediately after verification).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Owner assigns authorized defenders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cleartext-signs the generated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policy in-browser for publication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UC-07: Enforce SLA Escalation Timers &amp; Verify Hash-Chained Audit Ledger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Reviewer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Read-Only Auditor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System Cron.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vulnerability reports exist within the tenant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Hourly SLA countdown engine evaluates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sla_triage_due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sla_remediation_due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 across active reports.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Approaching or breached SLA targets trigger metadata-only email and webhook alerts without exposing exploit details.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Reviewers and read-only auditors inspect the append-only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INSERT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only) and verify cryptographic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SHA-256 chain continuity.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4.2 System Use Case Diagram (Figure 4.1)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4209137" cy="6583680"/>
            <wp:effectExtent l="0" t="0" r="0" b="0"/>
            <wp:docPr id="201" name="Figure 4.1 System Use Case Diagram" descr="Figure 4.1 System Use Case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Figure 4.1 System Use Case Diagram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4209137" cy="658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4.3 Sequence Diagram: Browser-Side OpenPGP Submission (Figure 4.2)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393485"/>
            <wp:effectExtent l="0" t="0" r="0" b="0"/>
            <wp:docPr id="202" name="Figure 4.2 Sequence Diagram Submission" descr="Figure 4.2 Sequence Diagram Submis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Figure 4.2 Sequence Diagram Submission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393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4.4 Sequence Diagram: In-Browser Decryption &amp; Confidential Triage (Figure 4.3)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887872"/>
            <wp:effectExtent l="0" t="0" r="0" b="0"/>
            <wp:docPr id="203" name="Figure 4.3 Sequence Diagram Decryption" descr="Figure 4.3 Sequence Diagram Decryp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Figure 4.3 Sequence Diagram Decryption"/>
                    <pic:cNvPicPr>
                      <a:picLocks noChangeAspect="1" noChangeArrowheads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87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4.5 State Machine Diagram: Remediation &amp; Attested Retest Lifecycle (Figure 4.4)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Lifecycle State Transition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50"/>
        <w:gridCol w:w="1550"/>
        <w:gridCol w:w="1800"/>
        <w:gridCol w:w="1750"/>
        <w:gridCol w:w="1750"/>
        <w:gridCol w:w="1560"/>
      </w:tblGrid>
      <w:tr>
        <w:trPr>
          <w:tblHeader/>
        </w:trPr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Current State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Event / Trigger Action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Actor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Guard Conditions &amp; Business Rules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Next State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Required Attestation &amp; Evidence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Triage Intake Initiated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 exists, valid ciphertext envelope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Intake timestamp, assigned triager user ID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Filter Scanner Spam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scan output, non-vulnerability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Spam categorization record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Vulnerability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Flaw in-scope; valid reproduction; CVSS Base score computed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 3.1 Base vector string, numeric score, textual justification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Clarification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PoC incomplete or unable to reproduce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Structured inquiry posted in Researcher–Org discussion lane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Clarification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Supplementary details or revised PoC provided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Encrypted clarification response payload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Inactivity Timeout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System Cron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inactive &gt;= 14 days after inquiry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CLOSED_INCOMPLETE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timeout record (intake abandoned without proof)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 Submission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 of program scope, invalid bug, or non-actionable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rejection category and policy citation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Mark as Duplicate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 root cause previously reported; verified in-browser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Reference to primary parent Report ID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Operational Risk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Owner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Management formally accepts risk; requires written rationale &amp; review date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Executive risk acceptance justification and scheduled review date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Finding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Reporter retracts mistaken submission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Submitter retraction statement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Propose Remediation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Validated GitHub commit SHA or SHA-256 config hash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40-char commit SHA + target branch OR config SHA-256 hash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 Fix &amp; Request Retest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 deployed to designated accessible environment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 environment URL, version tag, retest instructions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 Passed (Researcher)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 independently verified mitigated by reporter on target env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VERIFIED_RESEARCHER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Empirical retest log, verification date, reporter confirmation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 Passed (Internal)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 verified mitigated internally; author conflict disclosed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VERIFIED_INTERNAL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Reviewer empirical test evidence, conflict-of-interest disclosure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Grace Period Inactivity Closure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inactive &gt;= 14 days after deployment notification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CLOSED_UNVERIFIED_TIMEOUT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Explicit reviewer closure action with recorded administrative rationale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 Failed (Flaw Persists)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Empirical retest demonstrates vulnerability remains exploitable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event)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Detailed failure reproduction notes, error logs; preserves audit record</w:t>
            </w:r>
          </w:p>
        </w:tc>
      </w:tr>
      <w:tr>
        <w:trPr/>
        <w:tc>
          <w:tcPr>
            <w:tcW w:w="9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VERIFIED_RESEARCHER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CLOSED_UNVERIFIED_TIMEOUT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 Ticket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Tenant Owner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Regression identified, risk re-evaluated, or formal dispute upheld</w:t>
            </w:r>
          </w:p>
        </w:tc>
        <w:tc>
          <w:tcPr>
            <w:tcW w:w="17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reopening audit justification and incident link</w:t>
            </w:r>
          </w:p>
        </w:tc>
      </w:tr>
    </w:tbl>
    <w:p>
      <w:pPr>
        <w:spacing w:before="40" w:after="40"/>
      </w:pP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3335268"/>
            <wp:effectExtent l="0" t="0" r="0" b="0"/>
            <wp:docPr id="204" name="Figure 4.4 Report Lifecycle State Machine" descr="Figure 4.4 Report Lifecycle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Figure 4.4 Report Lifecycle State Machine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3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5. External Interface Requirements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5.1 User Interfaces &amp; Screen Catalog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platform provides a responsive, accessible web interface comprising 8 core screens: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`SCR-01: Public Program Discovery (/programs/[slug])`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Displays organization profile, Safe Harbor policy, in-scope and out-of-scope asset tables, rules of engagement, and active RFC 9580 v6 public key fingerprint.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`SCR-02: Cryptographic Report Submission (/programs/[slug]/submit)`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Intake form for selecting the neutral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enum, entering the specific vulnerability title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selecting the target asset, suggesting a CVSS v3.1 vector, writing the Markdown description/PoC, and uploading encrypted attachments (supporting both authenticated and account-less guest submissions).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`SCR-03: Triage &amp; Confidential Discussion Desk (/dashboard/reports/[id])`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Passphrase-unlocked triage view displaying the decrypted report, Dual-Lane discussion threads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SLA countdown badge, interactive CVSS v3.1 calculator, and lifecycle transition controls.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`SCR-04: Remediation Proposal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Modal for selecting evidence type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verifying a 40-character GitHub commit SHA and branch, or binding a 64-character SHA-256 configuration hash with target deployment environment metadata.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`SCR-05: Attested Retest &amp; Closure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Structured verification form for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attestations with encrypted verification logs.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`SCR-06: Organization Policy &amp; Key Settings (/settings/security-txt)`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Interface for configuring RFC 9116 policy directives, executing in-browser cleartext OpenPGP signing, managing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recipients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running DNS TXT domain verification.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`SCR-07: Guided Onboarding Wizard (/onboarding)`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Step-by-step setup wizard guiding new organization owners through DNS TXT verification, local Curve25519 key generation, mandatory offline Master Recovery Key decryption challenge, and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`SCR-08: Redacted Closure Evidence Export Modal (/dashboard/reports/[id]/export)`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Export utility generating sanitized PDF and JSON remediation certificates containing lifecycle timestamps, CVSS v3.1 vectors, commit SHAs, and hash-chain proofs without raw exploit payloads.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REST API v3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/repos/{owner}/{repo}/commits/{ref}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/repos/{owner}/{repo}/compare/{base}...{head}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verifying commit SHAs, author identity, and branch inclusion across public and private repositories.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DNS Resolver (Node.js `dns.promises`)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resolveTxt()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querying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_bbt-challenge.&lt;domain&gt;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TXT records for domain ownership verification.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Resend / Postmark Transactional Email API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/emails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dispatching metadata-only notification alerts over TLS 1.3.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 Object Storage (S3-Compatible API)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issuing short-lived presigned URLs for direct browser upload/download of client-encrypted PoC attachments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6. Quantifiable Non-Functional Requirements (Latency, Security &amp; Uptime)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NFR-01 (Server API Latency Target)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95% of non-cryptographic API requests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state transition endpoints) shall respond within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300 ms` (`p95 &lt;= 300 ms` warm)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1,200 ms` (`p95 &lt;= 1,200 ms` serverless cold start)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a concurrent load of 10–50 virtual users on Node.js 22 LTS serverless runtime.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NFR-02 (Client Cryptographic Latency Benchmark)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Client-side OpenPGP key generation and payload encryption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100 KB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text) shall complete within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1,500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modern desktop browsers (Chromium 120+, Apple M-series or Intel Core i5 reference). Pinned RFC 9580 v6 Curve25519 bare keypair generation executes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 50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(empirical benchmark target), while Argon2id S2K private-key unlocking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t=3, m=65536, p=4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introduces an intentional, estimated cryptographic delay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`~200–400 ms`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NFR-03 (Security — Zero Cross-Tenant Leakage via RLS)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PostgreSQL database layer shall dynamically bind tenant context on pooled connections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 app.current_tenant_id = :org_id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every transactional query block, guaranteeing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`0%` cross-tenant record leakage (`0` unauthorized rows returned)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connection pool reuse.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NFR-04 (Usability &amp; WCAG 2.2 AA Accessibility)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interactive controls shall meet the minimum target size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`24 x 24 CSS px`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WCAG 2.2 Level AA (with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`44 x 44 CSS px`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enforced on primary navigation controls) and maintain color contrast ratios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4.5:1`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normal text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3.0:1`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large text.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NFR-05 (Security — Stored XSS Neutralization &amp; CSP Hardening)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Markdown rendering pipeline shall parse decrypted input into an Abstract Syntax Tree (AST) and sanitize it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a strict allowlist, neutralizing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`100%` of test attack vectors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the OWASP Cross-Site Scripting Filter Evasion Cheat Sheet (including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&lt;script&gt;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javascript: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onerror=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data: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URIs). Content Security Policy headers shall enforce strict origin rules while permitting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'wasm-unsafe-eval'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solely for OpenPGP.js Argon2id WebAssembly execution.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NFR-06 (Reliability — Bounded Storage Quota Enforcement)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Tenant storage shall be bounded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`50 MB` PostgreSQL database volume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 GB` Cloudflare R2 encrypted object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evaluation tenant. The platform shall display administrative warnings when usage reaches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`90%`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configured quota and reject new allocations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`100%`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NFR-07 (Security — Append-Only Audit Ledger Integrity)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PostgreSQL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shall enforce database-level grant constraints permitting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INSERT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operations only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`0` `UPDATE` or `DELETE` privileges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paired with a cryptographic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 ensuring 100% tamper-evident audit continuity.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NFR-08 (Operational SLA &amp; Deterministic Scoring Accuracy)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CVSS v3.1 engine shall achieve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`100%` exact numeric parity (`45/45` test vectors)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against FIRST.org and NIST NVD fixtures using coefficient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The SLA countdown monitor shall evaluate active report deadlines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hourly precision (`&lt;= 60-minute` drift)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automatically transition abandoned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tickets after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14 days`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NFR-09 (System Uptime, Service Availability &amp; Disaster Recovery SLO)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Public vulnerability disclosure endpoints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RFC 9116 policy discovery routes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/api/v1/programs/[slug]/security.txt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maintain a monthly service availability (uptime) target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99.5%`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(maximum permitted unplanned downtime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`&lt;= 3.65 hours/month`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verified via automated 5-minute synthetic health probes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responding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Database and R2 backup procedures shall enforce a quantifiable Recovery Point Objective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`RPO &lt;= 24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Recovery Time Objective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`RTO &lt;= 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Quantifiable Non-Functional Requirements Summary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 ID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Quality Pillar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Quantifiable Engineering Metric / Threshold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Verification Method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(Server API)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warm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cold) under 10–50 concurrent requests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Automated k6 / Supertest latency benchmark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(Client Crypto)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Curve25519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Argon2id S2K;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total encrypt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Browser WebCrypto / OpenPGP.js timing suite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(Tenant RLS)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cross-tenant rows returned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SET LOCAL app.current_tenant_id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Multi-tenant RLS boundary integration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Accessibility (WCAG 2.2)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&gt;= 24x24 px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touch targets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44x44 px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mobile nav);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&gt;= 4.5:1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contrast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Automated axe-core / Lighthouse accessibility audit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(XSS &amp; CSP)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neutralization of OWASP XSS corpus via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strict CSP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OWASP XSS vector corpus unit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Reliability (Storage Quotas)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 MB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DB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 GB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 per tenant; warn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block with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Quota boundary rejection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(Audit Integrity)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INSERT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SELECT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only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); SHA-256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prev_hash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chain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PostgreSQL privilege &amp; hash-chain verification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Determinism &amp; SLA Accuracy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CVSS 3.1 parity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45/45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vectors); hourly SLA cron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60 min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drift)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 fixture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&amp; SLA timer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TC-SLA-01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Uptime &amp; Continuity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`&gt;= 99.5%` monthly uptime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3.65h/mo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downtime);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`RPO &lt;= 24h`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`RTO &lt;= 4h`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5-minute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probes &amp; backup restore drill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7. Verification, Acceptance Criteria &amp; Requirements Traceability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7.1 Bidirectional Requirements Traceability Matrix (RTM)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100"/>
        <w:gridCol w:w="1800"/>
        <w:gridCol w:w="2960"/>
        <w:gridCol w:w="2100"/>
        <w:gridCol w:w="1400"/>
      </w:tblGrid>
      <w:tr>
        <w:trPr>
          <w:tblHeader/>
        </w:trPr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Requirement ID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Core MVP Feature / Capability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 Case ID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Test Case ID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WBS Package Code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FR-1.1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Multi-tenant schema isolation &amp; monorepo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(Tenant RLS isolation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Server-enforced 4-tier RBAC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PROGRAM_DEFENDER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(Role boundary verification)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DB sessions, Argon2/Bcrypt auth &amp; TOTP MFA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(Password hashing &amp; session kill)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Guided onboarding &amp; offline Master Recovery Key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TC-ONBOARD-01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(Onboarding &amp; recovery challenge)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Private program access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invite)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TC-INVITE-01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(Tokenized invite redemption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Account-less guest intake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.bbt-recovery.json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(Guest intake &amp; clean-browser restore)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FR-2.1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RFC 9116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generator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(RFC 9116 syntax &amp; expiry validator)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cleartext PGP policy signing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(Cleartext signature verification)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DNS TXT challenge domain verification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(DNS TXT challenge lookup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WP-3.3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FR-3.1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RFC 9580 v6 Curve25519 keygen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&lt;50ms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(Curve25519 64-hex fingerprint check)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Argon2id S2K encrypted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IndexedDB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store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(Local keystore unlock assertion)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Multi-defender PKESK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recipient_set_version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(Multi-defender decryption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enum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(Zero-plaintext title &amp; label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Direct-to-R2 presigned encrypted upload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(Direct R2 presigned upload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FR-3.6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Offline recovery key &amp; memory zeroization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Uint8Array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zeroize &amp; re-wrap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FR-4.1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CVSS 3.1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coeff.)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(45 verified vectors in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CVSS_TEST_FIXTURES.md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Decoupled suggested vs. assigned CVSS score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(Assessor audit trail assertion)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FR-5.1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In-browser payload decryption &amp; triage desk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decrypt pipeline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Dual-lane encrypted threading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(Internal notes key exclusion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Metadata-only email alerts &amp; duplicate linking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TC-NOTIF-01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(Zero-payload email notification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Severity-driven SLA countdown timers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TC-SLA-01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(Hourly SLA evaluation &amp; alert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REST API v3 commit SHA &amp; branch check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(GitHub commit &amp; compare verification)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Infrastructure config SHA-256 hash binder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(WebCrypto SHA-256 hash binding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WP-5.4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13-state vulnerability lifecycle FSM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(Invalid transition rejection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Attested retest (3 distinct terminal branches)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(Mandatory retest attestation check)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automatic loopback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(Failed retest loopback &amp; audit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FR-7.6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Audited regression reopening policy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(Reopen justification &amp; spam block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Redacted Closure Evidence Export (PDF/JSON)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(Zero-payload redacted export check)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FR-8.1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Markdown AST XSS neutralization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(OWASP XSS cheat sheet corpus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PostgreSQL 16 Row-Level Security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app.current_tenant_id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(Cross-tenant IDOR isolation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FR-8.3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Shared rate limiter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5/hr/IP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Turnstile CAPTCHA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(Rate limit HTTP 429 enforcement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WP-2.4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FR-8.4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Storage quota enforcement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 MB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DB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 GB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(90% warning &amp; 100% HTTP 413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Append-only SHA-256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prev_hash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audit ledger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privilege denial test)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NFR-09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monthly uptime SLO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RPO &lt;= 24h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RTO &lt;= 4h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probe &amp; restore drill)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7.2 Verification Test Pyramid &amp; Acceptance Criteria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1 — Deterministic Unit &amp; Cryptographic Verification (Vitest / Jest)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Parity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100% exact numeric score and severity rating match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45 FIRST.org and NIST NVD test vectors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(using exploitability coefficient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plus parser rejection of malformed vectors.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Zero-Knowledge OpenPGP Roundtrip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In-browser RFC 9580 v6 Curve25519 key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multi-recipient PKESK encryption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reporter key),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isolation,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checksum verification.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AST XSS Neutralization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100% neutralization of OWASP XSS payload fixtures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2 — Integration &amp; Database Boundary Verification (Supertest / PostgreSQL 16)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Tenant RLS Isolation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Queries executed under Tenant A's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app.current_tenant_id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variable return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records belonging to Tenant B.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State Machine &amp; Commit Guard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Attempting to transition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 -&gt; 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a verified 40-character GitHub commit SHA (or 64-character SHA-256 config hash) is rejected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Append-Only Audit Chain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Attempting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fails with a PostgreSQL permission error,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verification detects any simulated tampering.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3 — End-to-End Browser &amp; Usability Verification (Playwright / axe-core)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Complete guest submission $\rightarrow$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download $\rightarrow$ clean-browser restoration $\rightarrow$ defender Argon2id unlock &amp; decryption $\rightarrow$ CVSS v3.1 scoring $\rightarrow$ GitHub commit verification $\rightarrow$ researcher attested retest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$\rightarrow$ Redacted Closure Evidence Export,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WCAG 2.2 AA violations.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8. Document Endorsement &amp; Milestone Sign-Off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Week 2 Software Requirements Specification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formally submitted and endorsed as the IEEE 830 / ISO/IEC/IEEE 29148 requirements baseline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the Department of Software Engineering Technology, Punjab Tianjin University of Technology (PTUT), Lahore.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100"/>
        <w:gridCol w:w="1800"/>
        <w:gridCol w:w="2960"/>
        <w:gridCol w:w="2100"/>
        <w:gridCol w:w="1400"/>
      </w:tblGrid>
      <w:tr>
        <w:trPr>
          <w:tblHeader/>
        </w:trPr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Name &amp; Designation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Roll No. / Section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Signature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Date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Student Author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Taha Asadullah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(B.Sc. Software Engineering Technology)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24-ST-013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SET-B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19"/>
                <w:szCs w:val="19"/>
              </w:rPr>
              <w:t xml:space="preserve">Signed: Taha Asadullah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October 11, 2026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Project Supervisor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Sir Umar Hayat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(Assistant Professor, Dept. of SET, PTUT)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Faculty Supervisor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______________________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</w:t>
            </w:r>
          </w:p>
        </w:tc>
      </w:tr>
    </w:tbl>
    <w:p>
      <w:pPr>
        <w:spacing w:before="40" w:after="40"/>
      </w:pPr>
    </w:p>
    <w:sectPr>
      <w:headerReference xmlns:r="http://schemas.openxmlformats.org/officeDocument/2006/relationships" w:type="default" r:id="rId1"/>
      <w:footerReference xmlns:r="http://schemas.openxmlformats.org/officeDocument/2006/relationships" w:type="default" r:id="rId2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000000"/>
      </w:pBdr>
      <w:tabs>
        <w:tab w:val="right" w:pos="9360"/>
      </w:tabs>
      <w:spacing w:before="60" w:after="0"/>
      <w:jc w:val="lef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 xml:space="preserve">Prepared for Academic &amp; Technical Review — Taha Asadullah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tab/>
      <w:t xml:space="preserve">Page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000000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4" w:color="000000"/>
      </w:pBdr>
      <w:spacing w:before="0" w:after="60"/>
      <w:jc w:val="righ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>BugBountyTrack — IEEE 830 Software Requirements Specification (SRS v2.1.0)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2"/>
        <w:szCs w:val="22"/>
        <w:lang w:val="en-US" w:eastAsia="en-US" w:bidi="ar-SA"/>
      </w:rPr>
    </w:rPrDefault>
    <w:pPrDefault>
      <w:pPr>
        <w:spacing w:after="8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styles" Target="styles.xml"/>
  <Relationship Id="rId4" Type="http://schemas.openxmlformats.org/officeDocument/2006/relationships/settings" Target="settings.xml"/>
  <Relationship Id="rId201" Type="http://schemas.openxmlformats.org/officeDocument/2006/relationships/image" Target="media/fig4_2_usecase.png"/>
  <Relationship Id="rId202" Type="http://schemas.openxmlformats.org/officeDocument/2006/relationships/image" Target="media/fig4_3_seq_submission.png"/>
  <Relationship Id="rId203" Type="http://schemas.openxmlformats.org/officeDocument/2006/relationships/image" Target="media/fig4_4_seq_decryption.png"/>
  <Relationship Id="rId204" Type="http://schemas.openxmlformats.org/officeDocument/2006/relationships/image" Target="media/fig4_5_statemachine.png"/>
</Relationships>
</file>