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color w:val="386B24"/>
          <w:sz w:val="48"/>
        </w:rPr>
        <w:t>BUSINESS REQUIREMENTS DOCUMENT (BRD)</w:t>
      </w:r>
    </w:p>
    <w:p>
      <w:pPr>
        <w:spacing w:after="360"/>
        <w:jc w:val="center"/>
      </w:pPr>
      <w:r>
        <w:rPr>
          <w:rFonts w:ascii="Calibri" w:hAnsi="Calibri"/>
          <w:color w:val="5A6652"/>
          <w:sz w:val="26"/>
        </w:rPr>
        <w:t>Project Syncra: Student Habit Synchronization &amp; Academic Sprint Engine</w:t>
        <w:br/>
        <w:t>Version 1.0 • Release Ready</w:t>
      </w:r>
    </w:p>
    <w:tbl>
      <w:tblPr>
        <w:tblW w:type="auto" w:w="0"/>
        <w:jc w:val="center"/>
        <w:tblLook w:firstColumn="1" w:firstRow="1" w:lastColumn="0" w:lastRow="0" w:noHBand="0" w:noVBand="1" w:val="04A0"/>
      </w:tblPr>
      <w:tblGrid>
        <w:gridCol w:w="4968"/>
        <w:gridCol w:w="4968"/>
      </w:tblGrid>
      <w:tr>
        <w:tc>
          <w:tcPr>
            <w:tcW w:type="dxa" w:w="3168"/>
            <w:shd w:fill="E8F2D8"/>
            <w:tcMar>
              <w:top w:w="80" w:type="dxa"/>
              <w:bottom w:w="80" w:type="dxa"/>
              <w:left w:w="120" w:type="dxa"/>
              <w:right w:w="120" w:type="dxa"/>
            </w:tcMar>
          </w:tcPr>
          <w:p>
            <w:r>
              <w:rPr>
                <w:b/>
                <w:color w:val="386B24"/>
                <w:sz w:val="20"/>
              </w:rPr>
              <w:t>Project Name</w:t>
            </w:r>
          </w:p>
        </w:tc>
        <w:tc>
          <w:tcPr>
            <w:tcW w:type="dxa" w:w="6624"/>
            <w:shd w:fill="F4F9EC"/>
            <w:tcMar>
              <w:top w:w="80" w:type="dxa"/>
              <w:bottom w:w="80" w:type="dxa"/>
              <w:left w:w="120" w:type="dxa"/>
              <w:right w:w="120" w:type="dxa"/>
            </w:tcMar>
          </w:tcPr>
          <w:p>
            <w:r>
              <w:rPr>
                <w:color w:val="1B1D1E"/>
                <w:sz w:val="20"/>
              </w:rPr>
              <w:t>Syncra (FYP_01)</w:t>
            </w:r>
          </w:p>
        </w:tc>
      </w:tr>
      <w:tr>
        <w:tc>
          <w:tcPr>
            <w:tcW w:type="dxa" w:w="3168"/>
            <w:shd w:fill="E8F2D8"/>
            <w:tcMar>
              <w:top w:w="80" w:type="dxa"/>
              <w:bottom w:w="80" w:type="dxa"/>
              <w:left w:w="120" w:type="dxa"/>
              <w:right w:w="120" w:type="dxa"/>
            </w:tcMar>
          </w:tcPr>
          <w:p>
            <w:r>
              <w:rPr>
                <w:b/>
                <w:color w:val="386B24"/>
                <w:sz w:val="20"/>
              </w:rPr>
              <w:t>Lead Developer</w:t>
            </w:r>
          </w:p>
        </w:tc>
        <w:tc>
          <w:tcPr>
            <w:tcW w:type="dxa" w:w="6624"/>
            <w:shd w:fill="F4F9EC"/>
            <w:tcMar>
              <w:top w:w="80" w:type="dxa"/>
              <w:bottom w:w="80" w:type="dxa"/>
              <w:left w:w="120" w:type="dxa"/>
              <w:right w:w="120" w:type="dxa"/>
            </w:tcMar>
          </w:tcPr>
          <w:p>
            <w:r>
              <w:rPr>
                <w:color w:val="1B1D1E"/>
                <w:sz w:val="20"/>
              </w:rPr>
              <w:t>Zain-Ul-Abedin (Roll No: PTUT-F21-BSE-042)</w:t>
            </w:r>
          </w:p>
        </w:tc>
      </w:tr>
      <w:tr>
        <w:tc>
          <w:tcPr>
            <w:tcW w:type="dxa" w:w="3168"/>
            <w:shd w:fill="E8F2D8"/>
            <w:tcMar>
              <w:top w:w="80" w:type="dxa"/>
              <w:bottom w:w="80" w:type="dxa"/>
              <w:left w:w="120" w:type="dxa"/>
              <w:right w:w="120" w:type="dxa"/>
            </w:tcMar>
          </w:tcPr>
          <w:p>
            <w:r>
              <w:rPr>
                <w:b/>
                <w:color w:val="386B24"/>
                <w:sz w:val="20"/>
              </w:rPr>
              <w:t>Institution</w:t>
            </w:r>
          </w:p>
        </w:tc>
        <w:tc>
          <w:tcPr>
            <w:tcW w:type="dxa" w:w="6624"/>
            <w:shd w:fill="F4F9EC"/>
            <w:tcMar>
              <w:top w:w="80" w:type="dxa"/>
              <w:bottom w:w="80" w:type="dxa"/>
              <w:left w:w="120" w:type="dxa"/>
              <w:right w:w="120" w:type="dxa"/>
            </w:tcMar>
          </w:tcPr>
          <w:p>
            <w:r>
              <w:rPr>
                <w:color w:val="1B1D1E"/>
                <w:sz w:val="20"/>
              </w:rPr>
              <w:t>Punjab Tianjin University of Technology (PTUT), Lahore</w:t>
            </w:r>
          </w:p>
        </w:tc>
      </w:tr>
      <w:tr>
        <w:tc>
          <w:tcPr>
            <w:tcW w:type="dxa" w:w="3168"/>
            <w:shd w:fill="E8F2D8"/>
            <w:tcMar>
              <w:top w:w="80" w:type="dxa"/>
              <w:bottom w:w="80" w:type="dxa"/>
              <w:left w:w="120" w:type="dxa"/>
              <w:right w:w="120" w:type="dxa"/>
            </w:tcMar>
          </w:tcPr>
          <w:p>
            <w:r>
              <w:rPr>
                <w:b/>
                <w:color w:val="386B24"/>
                <w:sz w:val="20"/>
              </w:rPr>
              <w:t>Target Architecture</w:t>
            </w:r>
          </w:p>
        </w:tc>
        <w:tc>
          <w:tcPr>
            <w:tcW w:type="dxa" w:w="6624"/>
            <w:shd w:fill="F4F9EC"/>
            <w:tcMar>
              <w:top w:w="80" w:type="dxa"/>
              <w:bottom w:w="80" w:type="dxa"/>
              <w:left w:w="120" w:type="dxa"/>
              <w:right w:w="120" w:type="dxa"/>
            </w:tcMar>
          </w:tcPr>
          <w:p>
            <w:r>
              <w:rPr>
                <w:color w:val="1B1D1E"/>
                <w:sz w:val="20"/>
              </w:rPr>
              <w:t>Decoupled N-Tier (Flutter Client + Next.js 14 API + MongoDB Atlas)</w:t>
            </w:r>
          </w:p>
        </w:tc>
      </w:tr>
    </w:tbl>
    <w:p>
      <w:pPr>
        <w:spacing w:after="240"/>
      </w:pPr>
    </w:p>
    <w:p>
      <w:pPr>
        <w:pStyle w:val="Heading1"/>
      </w:pPr>
      <w:r>
        <w:rPr>
          <w:color w:val="386B24"/>
          <w:sz w:val="32"/>
        </w:rPr>
        <w:t>1. Executive Summary &amp; Vision</w:t>
      </w:r>
    </w:p>
    <w:p>
      <w:pPr>
        <w:spacing w:line="276" w:lineRule="auto" w:after="160"/>
      </w:pPr>
      <w:r>
        <w:t>Modern undergraduate students face unprecedented academic friction balancing rigorous coursework deadlines, daily study discipline, attendance compliance, and collaborative group projects. Generic task management tools fail to address academic context, providing no integration between personal study habits, statutory 75% attendance limits, or peer accountability contracts.</w:t>
        <w:br/>
        <w:br/>
        <w:t>Project Syncra is an intelligent, cross-platform academic productivity ecosystem engineered specifically for higher-education students. By unifying habit formation, focus sprint pomodoro timers, attendance radar, deliverable tracking, and squad accountability under a cohesive, calming Matcha flat interface, Syncra transforms chaotic academic routines into a structured, gamified daily momentum engine.</w:t>
      </w:r>
    </w:p>
    <w:p>
      <w:pPr>
        <w:pStyle w:val="Heading1"/>
      </w:pPr>
      <w:r>
        <w:rPr>
          <w:color w:val="386B24"/>
          <w:sz w:val="32"/>
        </w:rPr>
        <w:t>2. Strategic Business Objectives</w:t>
      </w:r>
    </w:p>
    <w:tbl>
      <w:tblPr>
        <w:tblW w:type="auto" w:w="0"/>
        <w:jc w:val="center"/>
        <w:tblLook w:firstColumn="1" w:firstRow="1" w:lastColumn="0" w:lastRow="0" w:noHBand="0" w:noVBand="1" w:val="04A0"/>
      </w:tblPr>
      <w:tblGrid>
        <w:gridCol w:w="3312"/>
        <w:gridCol w:w="3312"/>
        <w:gridCol w:w="3312"/>
      </w:tblGrid>
      <w:tr>
        <w:tc>
          <w:tcPr>
            <w:tcW w:type="dxa" w:w="3312"/>
            <w:shd w:fill="5B8A3C"/>
            <w:tcMar>
              <w:top w:w="100" w:type="dxa"/>
              <w:bottom w:w="100" w:type="dxa"/>
              <w:left w:w="100" w:type="dxa"/>
              <w:right w:w="100" w:type="dxa"/>
            </w:tcMar>
          </w:tcPr>
          <w:p>
            <w:r>
              <w:rPr>
                <w:b/>
                <w:color w:val="FFFFFF"/>
                <w:sz w:val="20"/>
              </w:rPr>
              <w:t>Objective ID</w:t>
            </w:r>
          </w:p>
        </w:tc>
        <w:tc>
          <w:tcPr>
            <w:tcW w:type="dxa" w:w="3312"/>
            <w:shd w:fill="5B8A3C"/>
            <w:tcMar>
              <w:top w:w="100" w:type="dxa"/>
              <w:bottom w:w="100" w:type="dxa"/>
              <w:left w:w="100" w:type="dxa"/>
              <w:right w:w="100" w:type="dxa"/>
            </w:tcMar>
          </w:tcPr>
          <w:p>
            <w:r>
              <w:rPr>
                <w:b/>
                <w:color w:val="FFFFFF"/>
                <w:sz w:val="20"/>
              </w:rPr>
              <w:t>Objective Statement</w:t>
            </w:r>
          </w:p>
        </w:tc>
        <w:tc>
          <w:tcPr>
            <w:tcW w:type="dxa" w:w="3312"/>
            <w:shd w:fill="5B8A3C"/>
            <w:tcMar>
              <w:top w:w="100" w:type="dxa"/>
              <w:bottom w:w="100" w:type="dxa"/>
              <w:left w:w="100" w:type="dxa"/>
              <w:right w:w="100" w:type="dxa"/>
            </w:tcMar>
          </w:tcPr>
          <w:p>
            <w:r>
              <w:rPr>
                <w:b/>
                <w:color w:val="FFFFFF"/>
                <w:sz w:val="20"/>
              </w:rPr>
              <w:t>Key Performance Indicator (KPI)</w:t>
            </w:r>
          </w:p>
        </w:tc>
      </w:tr>
      <w:tr>
        <w:tc>
          <w:tcPr>
            <w:tcW w:type="dxa" w:w="3312"/>
            <w:shd w:fill="F4F9EC"/>
            <w:tcMar>
              <w:top w:w="80" w:type="dxa"/>
              <w:bottom w:w="80" w:type="dxa"/>
              <w:left w:w="100" w:type="dxa"/>
              <w:right w:w="100" w:type="dxa"/>
            </w:tcMar>
          </w:tcPr>
          <w:p>
            <w:r>
              <w:rPr>
                <w:b/>
                <w:color w:val="386B24"/>
                <w:sz w:val="19"/>
              </w:rPr>
              <w:t>BO-1: Habit Consistency</w:t>
            </w:r>
          </w:p>
        </w:tc>
        <w:tc>
          <w:tcPr>
            <w:tcW w:type="dxa" w:w="3312"/>
            <w:shd w:fill="F4F9EC"/>
            <w:tcMar>
              <w:top w:w="80" w:type="dxa"/>
              <w:bottom w:w="80" w:type="dxa"/>
              <w:left w:w="100" w:type="dxa"/>
              <w:right w:w="100" w:type="dxa"/>
            </w:tcMar>
          </w:tcPr>
          <w:p>
            <w:r>
              <w:rPr>
                <w:sz w:val="19"/>
              </w:rPr>
              <w:t>Enable students to maintain consecutive daily academic study streaks.</w:t>
            </w:r>
          </w:p>
        </w:tc>
        <w:tc>
          <w:tcPr>
            <w:tcW w:type="dxa" w:w="3312"/>
            <w:shd w:fill="F4F9EC"/>
            <w:tcMar>
              <w:top w:w="80" w:type="dxa"/>
              <w:bottom w:w="80" w:type="dxa"/>
              <w:left w:w="100" w:type="dxa"/>
              <w:right w:w="100" w:type="dxa"/>
            </w:tcMar>
          </w:tcPr>
          <w:p>
            <w:r>
              <w:rPr>
                <w:sz w:val="19"/>
              </w:rPr>
              <w:t>&gt;= 75% 14-day streak retention across student cohort.</w:t>
            </w:r>
          </w:p>
        </w:tc>
      </w:tr>
      <w:tr>
        <w:tc>
          <w:tcPr>
            <w:tcW w:type="dxa" w:w="3312"/>
            <w:shd w:fill="FFFFFF"/>
            <w:tcMar>
              <w:top w:w="80" w:type="dxa"/>
              <w:bottom w:w="80" w:type="dxa"/>
              <w:left w:w="100" w:type="dxa"/>
              <w:right w:w="100" w:type="dxa"/>
            </w:tcMar>
          </w:tcPr>
          <w:p>
            <w:r>
              <w:rPr>
                <w:b/>
                <w:color w:val="386B24"/>
                <w:sz w:val="19"/>
              </w:rPr>
              <w:t>BO-2: Focus Velocity</w:t>
            </w:r>
          </w:p>
        </w:tc>
        <w:tc>
          <w:tcPr>
            <w:tcW w:type="dxa" w:w="3312"/>
            <w:shd w:fill="FFFFFF"/>
            <w:tcMar>
              <w:top w:w="80" w:type="dxa"/>
              <w:bottom w:w="80" w:type="dxa"/>
              <w:left w:w="100" w:type="dxa"/>
              <w:right w:w="100" w:type="dxa"/>
            </w:tcMar>
          </w:tcPr>
          <w:p>
            <w:r>
              <w:rPr>
                <w:sz w:val="19"/>
              </w:rPr>
              <w:t>Provide frictionless on-device Pomodoro and Deep Work sprint timers.</w:t>
            </w:r>
          </w:p>
        </w:tc>
        <w:tc>
          <w:tcPr>
            <w:tcW w:type="dxa" w:w="3312"/>
            <w:shd w:fill="FFFFFF"/>
            <w:tcMar>
              <w:top w:w="80" w:type="dxa"/>
              <w:bottom w:w="80" w:type="dxa"/>
              <w:left w:w="100" w:type="dxa"/>
              <w:right w:w="100" w:type="dxa"/>
            </w:tcMar>
          </w:tcPr>
          <w:p>
            <w:r>
              <w:rPr>
                <w:sz w:val="19"/>
              </w:rPr>
              <w:t>Average 120+ minutes of tracked deep focus per user weekly.</w:t>
            </w:r>
          </w:p>
        </w:tc>
      </w:tr>
      <w:tr>
        <w:tc>
          <w:tcPr>
            <w:tcW w:type="dxa" w:w="3312"/>
            <w:shd w:fill="F4F9EC"/>
            <w:tcMar>
              <w:top w:w="80" w:type="dxa"/>
              <w:bottom w:w="80" w:type="dxa"/>
              <w:left w:w="100" w:type="dxa"/>
              <w:right w:w="100" w:type="dxa"/>
            </w:tcMar>
          </w:tcPr>
          <w:p>
            <w:r>
              <w:rPr>
                <w:b/>
                <w:color w:val="386B24"/>
                <w:sz w:val="19"/>
              </w:rPr>
              <w:t>BO-3: Attendance Protection</w:t>
            </w:r>
          </w:p>
        </w:tc>
        <w:tc>
          <w:tcPr>
            <w:tcW w:type="dxa" w:w="3312"/>
            <w:shd w:fill="F4F9EC"/>
            <w:tcMar>
              <w:top w:w="80" w:type="dxa"/>
              <w:bottom w:w="80" w:type="dxa"/>
              <w:left w:w="100" w:type="dxa"/>
              <w:right w:w="100" w:type="dxa"/>
            </w:tcMar>
          </w:tcPr>
          <w:p>
            <w:r>
              <w:rPr>
                <w:sz w:val="19"/>
              </w:rPr>
              <w:t>Deliver real-time radar warning students before dropping below 75% limit.</w:t>
            </w:r>
          </w:p>
        </w:tc>
        <w:tc>
          <w:tcPr>
            <w:tcW w:type="dxa" w:w="3312"/>
            <w:shd w:fill="F4F9EC"/>
            <w:tcMar>
              <w:top w:w="80" w:type="dxa"/>
              <w:bottom w:w="80" w:type="dxa"/>
              <w:left w:w="100" w:type="dxa"/>
              <w:right w:w="100" w:type="dxa"/>
            </w:tcMar>
          </w:tcPr>
          <w:p>
            <w:r>
              <w:rPr>
                <w:sz w:val="19"/>
              </w:rPr>
              <w:t>&lt; 2% accidental course debarment due to attendance deficits.</w:t>
            </w:r>
          </w:p>
        </w:tc>
      </w:tr>
      <w:tr>
        <w:tc>
          <w:tcPr>
            <w:tcW w:type="dxa" w:w="3312"/>
            <w:shd w:fill="FFFFFF"/>
            <w:tcMar>
              <w:top w:w="80" w:type="dxa"/>
              <w:bottom w:w="80" w:type="dxa"/>
              <w:left w:w="100" w:type="dxa"/>
              <w:right w:w="100" w:type="dxa"/>
            </w:tcMar>
          </w:tcPr>
          <w:p>
            <w:r>
              <w:rPr>
                <w:b/>
                <w:color w:val="386B24"/>
                <w:sz w:val="19"/>
              </w:rPr>
              <w:t>BO-4: Peer Accountability</w:t>
            </w:r>
          </w:p>
        </w:tc>
        <w:tc>
          <w:tcPr>
            <w:tcW w:type="dxa" w:w="3312"/>
            <w:shd w:fill="FFFFFF"/>
            <w:tcMar>
              <w:top w:w="80" w:type="dxa"/>
              <w:bottom w:w="80" w:type="dxa"/>
              <w:left w:w="100" w:type="dxa"/>
              <w:right w:w="100" w:type="dxa"/>
            </w:tcMar>
          </w:tcPr>
          <w:p>
            <w:r>
              <w:rPr>
                <w:sz w:val="19"/>
              </w:rPr>
              <w:t>Facilitate study squads with shared contract stakes and live standings.</w:t>
            </w:r>
          </w:p>
        </w:tc>
        <w:tc>
          <w:tcPr>
            <w:tcW w:type="dxa" w:w="3312"/>
            <w:shd w:fill="FFFFFF"/>
            <w:tcMar>
              <w:top w:w="80" w:type="dxa"/>
              <w:bottom w:w="80" w:type="dxa"/>
              <w:left w:w="100" w:type="dxa"/>
              <w:right w:w="100" w:type="dxa"/>
            </w:tcMar>
          </w:tcPr>
          <w:p>
            <w:r>
              <w:rPr>
                <w:sz w:val="19"/>
              </w:rPr>
              <w:t>80%+ group milestone completion rate within squads.</w:t>
            </w:r>
          </w:p>
        </w:tc>
      </w:tr>
      <w:tr>
        <w:tc>
          <w:tcPr>
            <w:tcW w:type="dxa" w:w="3312"/>
            <w:shd w:fill="F4F9EC"/>
            <w:tcMar>
              <w:top w:w="80" w:type="dxa"/>
              <w:bottom w:w="80" w:type="dxa"/>
              <w:left w:w="100" w:type="dxa"/>
              <w:right w:w="100" w:type="dxa"/>
            </w:tcMar>
          </w:tcPr>
          <w:p>
            <w:r>
              <w:rPr>
                <w:b/>
                <w:color w:val="386B24"/>
                <w:sz w:val="19"/>
              </w:rPr>
              <w:t>BO-5: Zero-Cost Operation</w:t>
            </w:r>
          </w:p>
        </w:tc>
        <w:tc>
          <w:tcPr>
            <w:tcW w:type="dxa" w:w="3312"/>
            <w:shd w:fill="F4F9EC"/>
            <w:tcMar>
              <w:top w:w="80" w:type="dxa"/>
              <w:bottom w:w="80" w:type="dxa"/>
              <w:left w:w="100" w:type="dxa"/>
              <w:right w:w="100" w:type="dxa"/>
            </w:tcMar>
          </w:tcPr>
          <w:p>
            <w:r>
              <w:rPr>
                <w:sz w:val="19"/>
              </w:rPr>
              <w:t>Operate full monorepo backend and web admin on zero-cost infrastructure.</w:t>
            </w:r>
          </w:p>
        </w:tc>
        <w:tc>
          <w:tcPr>
            <w:tcW w:type="dxa" w:w="3312"/>
            <w:shd w:fill="F4F9EC"/>
            <w:tcMar>
              <w:top w:w="80" w:type="dxa"/>
              <w:bottom w:w="80" w:type="dxa"/>
              <w:left w:w="100" w:type="dxa"/>
              <w:right w:w="100" w:type="dxa"/>
            </w:tcMar>
          </w:tcPr>
          <w:p>
            <w:r>
              <w:rPr>
                <w:sz w:val="19"/>
              </w:rPr>
              <w:t>$0.00 infrastructure cost via Vercel + Render + MongoDB Atlas.</w:t>
            </w:r>
          </w:p>
        </w:tc>
      </w:tr>
    </w:tbl>
    <w:p>
      <w:pPr>
        <w:spacing w:after="240"/>
      </w:pPr>
    </w:p>
    <w:p>
      <w:pPr>
        <w:pStyle w:val="Heading1"/>
      </w:pPr>
      <w:r>
        <w:rPr>
          <w:color w:val="386B24"/>
          <w:sz w:val="32"/>
        </w:rPr>
        <w:t>3. Stakeholder Ecosystem &amp; Governance</w:t>
      </w:r>
    </w:p>
    <w:p>
      <w:pPr>
        <w:spacing w:after="80"/>
        <w:ind w:left="288"/>
      </w:pPr>
      <w:r>
        <w:rPr>
          <w:b/>
          <w:color w:val="386B24"/>
        </w:rPr>
        <w:t xml:space="preserve">• Undergraduate Students: </w:t>
      </w:r>
      <w:r>
        <w:rPr>
          <w:sz w:val="20"/>
        </w:rPr>
        <w:t>Primary end-users utilizing the Flutter mobile client for daily focus sprints, habit tracking, squad collaboration, and attendance radar.</w:t>
      </w:r>
    </w:p>
    <w:p>
      <w:pPr>
        <w:spacing w:after="80"/>
        <w:ind w:left="288"/>
      </w:pPr>
      <w:r>
        <w:rPr>
          <w:b/>
          <w:color w:val="386B24"/>
        </w:rPr>
        <w:t xml:space="preserve">• Study Squad Leaders: </w:t>
      </w:r>
      <w:r>
        <w:rPr>
          <w:sz w:val="20"/>
        </w:rPr>
        <w:t>Student captains organizing study circles, defining group sprint targets, and monitoring collective accountability milestones.</w:t>
      </w:r>
    </w:p>
    <w:p>
      <w:pPr>
        <w:spacing w:after="80"/>
        <w:ind w:left="288"/>
      </w:pPr>
      <w:r>
        <w:rPr>
          <w:b/>
          <w:color w:val="386B24"/>
        </w:rPr>
        <w:t xml:space="preserve">• Academic Department Admins: </w:t>
      </w:r>
      <w:r>
        <w:rPr>
          <w:sz w:val="20"/>
        </w:rPr>
        <w:t>University administrators managing institutional courses, academic calendars, and batch-wide student profiles via Next.js Web CRM.</w:t>
      </w:r>
    </w:p>
    <w:p>
      <w:pPr>
        <w:spacing w:after="80"/>
        <w:ind w:left="288"/>
      </w:pPr>
      <w:r>
        <w:rPr>
          <w:b/>
          <w:color w:val="386B24"/>
        </w:rPr>
        <w:t xml:space="preserve">• System Evaluators / Assessors: </w:t>
      </w:r>
      <w:r>
        <w:rPr>
          <w:sz w:val="20"/>
        </w:rPr>
        <w:t>Academic jury and faculty assessing architecture integrity, N-tier decoupling, test coverage, and product UX.</w:t>
      </w:r>
    </w:p>
    <w:p>
      <w:pPr>
        <w:spacing w:after="160"/>
      </w:pPr>
    </w:p>
    <w:p>
      <w:pPr>
        <w:pStyle w:val="Heading1"/>
      </w:pPr>
      <w:r>
        <w:rPr>
          <w:color w:val="386B24"/>
          <w:sz w:val="32"/>
        </w:rPr>
        <w:t>4. Detailed Functional Business Requirements</w:t>
      </w:r>
    </w:p>
    <w:tbl>
      <w:tblPr>
        <w:tblW w:type="auto" w:w="0"/>
        <w:jc w:val="center"/>
        <w:tblLook w:firstColumn="1" w:firstRow="1" w:lastColumn="0" w:lastRow="0" w:noHBand="0" w:noVBand="1" w:val="04A0"/>
      </w:tblPr>
      <w:tblGrid>
        <w:gridCol w:w="4968"/>
        <w:gridCol w:w="4968"/>
      </w:tblGrid>
      <w:tr>
        <w:tc>
          <w:tcPr>
            <w:tcW w:type="dxa" w:w="2880"/>
            <w:shd w:fill="5B8A3C"/>
            <w:tcMar>
              <w:top w:w="100" w:type="dxa"/>
              <w:bottom w:w="100" w:type="dxa"/>
              <w:left w:w="100" w:type="dxa"/>
              <w:right w:w="100" w:type="dxa"/>
            </w:tcMar>
          </w:tcPr>
          <w:p>
            <w:r>
              <w:rPr>
                <w:b/>
                <w:color w:val="FFFFFF"/>
                <w:sz w:val="20"/>
              </w:rPr>
              <w:t>Requirement ID &amp; Scope</w:t>
            </w:r>
          </w:p>
        </w:tc>
        <w:tc>
          <w:tcPr>
            <w:tcW w:type="dxa" w:w="6912"/>
            <w:shd w:fill="5B8A3C"/>
            <w:tcMar>
              <w:top w:w="100" w:type="dxa"/>
              <w:bottom w:w="100" w:type="dxa"/>
              <w:left w:w="100" w:type="dxa"/>
              <w:right w:w="100" w:type="dxa"/>
            </w:tcMar>
          </w:tcPr>
          <w:p>
            <w:r>
              <w:rPr>
                <w:b/>
                <w:color w:val="FFFFFF"/>
                <w:sz w:val="20"/>
              </w:rPr>
              <w:t>Functional Requirement Specification</w:t>
            </w:r>
          </w:p>
        </w:tc>
      </w:tr>
      <w:tr>
        <w:tc>
          <w:tcPr>
            <w:tcW w:type="dxa" w:w="4968"/>
            <w:shd w:fill="F4F9EC"/>
            <w:tcMar>
              <w:top w:w="80" w:type="dxa"/>
              <w:bottom w:w="80" w:type="dxa"/>
              <w:left w:w="100" w:type="dxa"/>
              <w:right w:w="100" w:type="dxa"/>
            </w:tcMar>
          </w:tcPr>
          <w:p>
            <w:r>
              <w:rPr>
                <w:b/>
                <w:color w:val="386B24"/>
                <w:sz w:val="19"/>
              </w:rPr>
              <w:t>BR-1: Authentic Student Profile &amp; Multi-Tenant Session Management</w:t>
            </w:r>
          </w:p>
        </w:tc>
        <w:tc>
          <w:tcPr>
            <w:tcW w:type="dxa" w:w="4968"/>
            <w:shd w:fill="F4F9EC"/>
            <w:tcMar>
              <w:top w:w="80" w:type="dxa"/>
              <w:bottom w:w="80" w:type="dxa"/>
              <w:left w:w="100" w:type="dxa"/>
              <w:right w:w="100" w:type="dxa"/>
            </w:tcMar>
          </w:tcPr>
          <w:p>
            <w:r>
              <w:rPr>
                <w:sz w:val="19"/>
              </w:rPr>
              <w:t>The system shall authenticate students using verified academic email domains, maintaining profile attributes (Full Name, Student ID/Roll No, University, Major, Academic Year) with hardware-backed JWT storage and automatic token refresh.</w:t>
            </w:r>
          </w:p>
        </w:tc>
      </w:tr>
      <w:tr>
        <w:tc>
          <w:tcPr>
            <w:tcW w:type="dxa" w:w="4968"/>
            <w:shd w:fill="FFFFFF"/>
            <w:tcMar>
              <w:top w:w="80" w:type="dxa"/>
              <w:bottom w:w="80" w:type="dxa"/>
              <w:left w:w="100" w:type="dxa"/>
              <w:right w:w="100" w:type="dxa"/>
            </w:tcMar>
          </w:tcPr>
          <w:p>
            <w:r>
              <w:rPr>
                <w:b/>
                <w:color w:val="386B24"/>
                <w:sz w:val="19"/>
              </w:rPr>
              <w:t>BR-2: Focus Sprint &amp; Pomodoro Engine</w:t>
            </w:r>
          </w:p>
        </w:tc>
        <w:tc>
          <w:tcPr>
            <w:tcW w:type="dxa" w:w="4968"/>
            <w:shd w:fill="FFFFFF"/>
            <w:tcMar>
              <w:top w:w="80" w:type="dxa"/>
              <w:bottom w:w="80" w:type="dxa"/>
              <w:left w:w="100" w:type="dxa"/>
              <w:right w:w="100" w:type="dxa"/>
            </w:tcMar>
          </w:tcPr>
          <w:p>
            <w:r>
              <w:rPr>
                <w:sz w:val="19"/>
              </w:rPr>
              <w:t>The system shall provide interactive Focus Sprint timers (25m Focus, 50m Deep Work, 5m Quick Break, 15m Long Break) with real-time visual progress, ambient acoustic cues, and instant completion rewards (XP and Sparks).</w:t>
            </w:r>
          </w:p>
        </w:tc>
      </w:tr>
      <w:tr>
        <w:tc>
          <w:tcPr>
            <w:tcW w:type="dxa" w:w="4968"/>
            <w:shd w:fill="F4F9EC"/>
            <w:tcMar>
              <w:top w:w="80" w:type="dxa"/>
              <w:bottom w:w="80" w:type="dxa"/>
              <w:left w:w="100" w:type="dxa"/>
              <w:right w:w="100" w:type="dxa"/>
            </w:tcMar>
          </w:tcPr>
          <w:p>
            <w:r>
              <w:rPr>
                <w:b/>
                <w:color w:val="386B24"/>
                <w:sz w:val="19"/>
              </w:rPr>
              <w:t>BR-3: Habit Formation &amp; Streak Shield Algorithms</w:t>
            </w:r>
          </w:p>
        </w:tc>
        <w:tc>
          <w:tcPr>
            <w:tcW w:type="dxa" w:w="4968"/>
            <w:shd w:fill="F4F9EC"/>
            <w:tcMar>
              <w:top w:w="80" w:type="dxa"/>
              <w:bottom w:w="80" w:type="dxa"/>
              <w:left w:w="100" w:type="dxa"/>
              <w:right w:w="100" w:type="dxa"/>
            </w:tcMar>
          </w:tcPr>
          <w:p>
            <w:r>
              <w:rPr>
                <w:sz w:val="19"/>
              </w:rPr>
              <w:t>The system shall track categorized habit sprints (Study, Coding, Assignment, Revision, Wellness) with optimistic local persistence, 7-day capsule streak history, and a 48-hour streak protection shield algorithm.</w:t>
            </w:r>
          </w:p>
        </w:tc>
      </w:tr>
      <w:tr>
        <w:tc>
          <w:tcPr>
            <w:tcW w:type="dxa" w:w="4968"/>
            <w:shd w:fill="FFFFFF"/>
            <w:tcMar>
              <w:top w:w="80" w:type="dxa"/>
              <w:bottom w:w="80" w:type="dxa"/>
              <w:left w:w="100" w:type="dxa"/>
              <w:right w:w="100" w:type="dxa"/>
            </w:tcMar>
          </w:tcPr>
          <w:p>
            <w:r>
              <w:rPr>
                <w:b/>
                <w:color w:val="386B24"/>
                <w:sz w:val="19"/>
              </w:rPr>
              <w:t>BR-4: Pinterest-Style Floating Navigation Shell</w:t>
            </w:r>
          </w:p>
        </w:tc>
        <w:tc>
          <w:tcPr>
            <w:tcW w:type="dxa" w:w="4968"/>
            <w:shd w:fill="FFFFFF"/>
            <w:tcMar>
              <w:top w:w="80" w:type="dxa"/>
              <w:bottom w:w="80" w:type="dxa"/>
              <w:left w:w="100" w:type="dxa"/>
              <w:right w:w="100" w:type="dxa"/>
            </w:tcMar>
          </w:tcPr>
          <w:p>
            <w:r>
              <w:rPr>
                <w:sz w:val="19"/>
              </w:rPr>
              <w:t>The application client shall render a detached frosted pill navigation dock (Home, Habits, elevated '+' action button, Squads, Profile) with backdrop blur and responsive modal triggers.</w:t>
            </w:r>
          </w:p>
        </w:tc>
      </w:tr>
      <w:tr>
        <w:tc>
          <w:tcPr>
            <w:tcW w:type="dxa" w:w="4968"/>
            <w:shd w:fill="F4F9EC"/>
            <w:tcMar>
              <w:top w:w="80" w:type="dxa"/>
              <w:bottom w:w="80" w:type="dxa"/>
              <w:left w:w="100" w:type="dxa"/>
              <w:right w:w="100" w:type="dxa"/>
            </w:tcMar>
          </w:tcPr>
          <w:p>
            <w:r>
              <w:rPr>
                <w:b/>
                <w:color w:val="386B24"/>
                <w:sz w:val="19"/>
              </w:rPr>
              <w:t>BR-5: 2x2 Bento Academic Command Radar</w:t>
            </w:r>
          </w:p>
        </w:tc>
        <w:tc>
          <w:tcPr>
            <w:tcW w:type="dxa" w:w="4968"/>
            <w:shd w:fill="F4F9EC"/>
            <w:tcMar>
              <w:top w:w="80" w:type="dxa"/>
              <w:bottom w:w="80" w:type="dxa"/>
              <w:left w:w="100" w:type="dxa"/>
              <w:right w:w="100" w:type="dxa"/>
            </w:tcMar>
          </w:tcPr>
          <w:p>
            <w:r>
              <w:rPr>
                <w:sz w:val="19"/>
              </w:rPr>
              <w:t>The Home screen shall feature a high-density 2x2 Bento Grid displaying Coursework Sprints, Timetable Radar, Daily Velocity, and Study Squads with real-time telemetry.</w:t>
            </w:r>
          </w:p>
        </w:tc>
      </w:tr>
      <w:tr>
        <w:tc>
          <w:tcPr>
            <w:tcW w:type="dxa" w:w="4968"/>
            <w:shd w:fill="FFFFFF"/>
            <w:tcMar>
              <w:top w:w="80" w:type="dxa"/>
              <w:bottom w:w="80" w:type="dxa"/>
              <w:left w:w="100" w:type="dxa"/>
              <w:right w:w="100" w:type="dxa"/>
            </w:tcMar>
          </w:tcPr>
          <w:p>
            <w:r>
              <w:rPr>
                <w:b/>
                <w:color w:val="386B24"/>
                <w:sz w:val="19"/>
              </w:rPr>
              <w:t>BR-6: Attendance Safety Limit Guard</w:t>
            </w:r>
          </w:p>
        </w:tc>
        <w:tc>
          <w:tcPr>
            <w:tcW w:type="dxa" w:w="4968"/>
            <w:shd w:fill="FFFFFF"/>
            <w:tcMar>
              <w:top w:w="80" w:type="dxa"/>
              <w:bottom w:w="80" w:type="dxa"/>
              <w:left w:w="100" w:type="dxa"/>
              <w:right w:w="100" w:type="dxa"/>
            </w:tcMar>
          </w:tcPr>
          <w:p>
            <w:r>
              <w:rPr>
                <w:sz w:val="19"/>
              </w:rPr>
              <w:t>The system shall calculate lecture attendance percentage against the statutory 75% institutional threshold and emit visual radar warnings when attendance drops near the margin.</w:t>
            </w:r>
          </w:p>
        </w:tc>
      </w:tr>
      <w:tr>
        <w:tc>
          <w:tcPr>
            <w:tcW w:type="dxa" w:w="4968"/>
            <w:shd w:fill="F4F9EC"/>
            <w:tcMar>
              <w:top w:w="80" w:type="dxa"/>
              <w:bottom w:w="80" w:type="dxa"/>
              <w:left w:w="100" w:type="dxa"/>
              <w:right w:w="100" w:type="dxa"/>
            </w:tcMar>
          </w:tcPr>
          <w:p>
            <w:r>
              <w:rPr>
                <w:b/>
                <w:color w:val="386B24"/>
                <w:sz w:val="19"/>
              </w:rPr>
              <w:t>BR-7: Collaborative Study Squads &amp; Shared Contracts</w:t>
            </w:r>
          </w:p>
        </w:tc>
        <w:tc>
          <w:tcPr>
            <w:tcW w:type="dxa" w:w="4968"/>
            <w:shd w:fill="F4F9EC"/>
            <w:tcMar>
              <w:top w:w="80" w:type="dxa"/>
              <w:bottom w:w="80" w:type="dxa"/>
              <w:left w:w="100" w:type="dxa"/>
              <w:right w:w="100" w:type="dxa"/>
            </w:tcMar>
          </w:tcPr>
          <w:p>
            <w:r>
              <w:rPr>
                <w:sz w:val="19"/>
              </w:rPr>
              <w:t>The system shall allow students to create or join squads via 6-character verification codes, establish shared weekly study hour contracts, and display member standings.</w:t>
            </w:r>
          </w:p>
        </w:tc>
      </w:tr>
      <w:tr>
        <w:tc>
          <w:tcPr>
            <w:tcW w:type="dxa" w:w="4968"/>
            <w:shd w:fill="FFFFFF"/>
            <w:tcMar>
              <w:top w:w="80" w:type="dxa"/>
              <w:bottom w:w="80" w:type="dxa"/>
              <w:left w:w="100" w:type="dxa"/>
              <w:right w:w="100" w:type="dxa"/>
            </w:tcMar>
          </w:tcPr>
          <w:p>
            <w:r>
              <w:rPr>
                <w:b/>
                <w:color w:val="386B24"/>
                <w:sz w:val="19"/>
              </w:rPr>
              <w:t>BR-8: Zero-Emoji Law &amp; Consumer-First UX Compliance</w:t>
            </w:r>
          </w:p>
        </w:tc>
        <w:tc>
          <w:tcPr>
            <w:tcW w:type="dxa" w:w="4968"/>
            <w:shd w:fill="FFFFFF"/>
            <w:tcMar>
              <w:top w:w="80" w:type="dxa"/>
              <w:bottom w:w="80" w:type="dxa"/>
              <w:left w:w="100" w:type="dxa"/>
              <w:right w:w="100" w:type="dxa"/>
            </w:tcMar>
          </w:tcPr>
          <w:p>
            <w:r>
              <w:rPr>
                <w:sz w:val="19"/>
              </w:rPr>
              <w:t>All user-facing views and system logs shall strictly use plain ASCII status indicators, vector SVG icons, and Google Fonts Lexend typography with everyday, friendly language.</w:t>
            </w:r>
          </w:p>
        </w:tc>
      </w:tr>
      <w:tr>
        <w:tc>
          <w:tcPr>
            <w:tcW w:type="dxa" w:w="4968"/>
            <w:shd w:fill="F4F9EC"/>
            <w:tcMar>
              <w:top w:w="80" w:type="dxa"/>
              <w:bottom w:w="80" w:type="dxa"/>
              <w:left w:w="100" w:type="dxa"/>
              <w:right w:w="100" w:type="dxa"/>
            </w:tcMar>
          </w:tcPr>
          <w:p>
            <w:r>
              <w:rPr>
                <w:b/>
                <w:color w:val="386B24"/>
                <w:sz w:val="19"/>
              </w:rPr>
              <w:t>BR-9: Offline-First Local Data Synchronization</w:t>
            </w:r>
          </w:p>
        </w:tc>
        <w:tc>
          <w:tcPr>
            <w:tcW w:type="dxa" w:w="4968"/>
            <w:shd w:fill="F4F9EC"/>
            <w:tcMar>
              <w:top w:w="80" w:type="dxa"/>
              <w:bottom w:w="80" w:type="dxa"/>
              <w:left w:w="100" w:type="dxa"/>
              <w:right w:w="100" w:type="dxa"/>
            </w:tcMar>
          </w:tcPr>
          <w:p>
            <w:r>
              <w:rPr>
                <w:sz w:val="19"/>
              </w:rPr>
              <w:t>The mobile client shall execute all habit toggles, focus sessions, and profile updates with sub-16ms optimistic UI updates, queuing cloud synchronization until internet connectivity is established.</w:t>
            </w:r>
          </w:p>
        </w:tc>
      </w:tr>
    </w:tbl>
    <w:p>
      <w:pPr>
        <w:spacing w:after="240"/>
      </w:pPr>
    </w:p>
    <w:p>
      <w:pPr>
        <w:pStyle w:val="Heading1"/>
      </w:pPr>
      <w:r>
        <w:rPr>
          <w:color w:val="386B24"/>
          <w:sz w:val="32"/>
        </w:rPr>
        <w:t>5. Zero-Cost Financial &amp; Infrastructure TCO</w:t>
      </w:r>
    </w:p>
    <w:tbl>
      <w:tblPr>
        <w:tblW w:type="auto" w:w="0"/>
        <w:jc w:val="center"/>
        <w:tblLook w:firstColumn="1" w:firstRow="1" w:lastColumn="0" w:lastRow="0" w:noHBand="0" w:noVBand="1" w:val="04A0"/>
      </w:tblPr>
      <w:tblGrid>
        <w:gridCol w:w="2484"/>
        <w:gridCol w:w="2484"/>
        <w:gridCol w:w="2484"/>
        <w:gridCol w:w="2484"/>
      </w:tblGrid>
      <w:tr>
        <w:tc>
          <w:tcPr>
            <w:tcW w:type="dxa" w:w="2484"/>
            <w:shd w:fill="5B8A3C"/>
            <w:tcMar>
              <w:top w:w="100" w:type="dxa"/>
              <w:bottom w:w="100" w:type="dxa"/>
              <w:left w:w="80" w:type="dxa"/>
              <w:right w:w="80" w:type="dxa"/>
            </w:tcMar>
          </w:tcPr>
          <w:p>
            <w:r>
              <w:rPr>
                <w:b/>
                <w:color w:val="FFFFFF"/>
                <w:sz w:val="19"/>
              </w:rPr>
              <w:t>Infrastructure Tier</w:t>
            </w:r>
          </w:p>
        </w:tc>
        <w:tc>
          <w:tcPr>
            <w:tcW w:type="dxa" w:w="2484"/>
            <w:shd w:fill="5B8A3C"/>
            <w:tcMar>
              <w:top w:w="100" w:type="dxa"/>
              <w:bottom w:w="100" w:type="dxa"/>
              <w:left w:w="80" w:type="dxa"/>
              <w:right w:w="80" w:type="dxa"/>
            </w:tcMar>
          </w:tcPr>
          <w:p>
            <w:r>
              <w:rPr>
                <w:b/>
                <w:color w:val="FFFFFF"/>
                <w:sz w:val="19"/>
              </w:rPr>
              <w:t>Platform / Provider</w:t>
            </w:r>
          </w:p>
        </w:tc>
        <w:tc>
          <w:tcPr>
            <w:tcW w:type="dxa" w:w="2484"/>
            <w:shd w:fill="5B8A3C"/>
            <w:tcMar>
              <w:top w:w="100" w:type="dxa"/>
              <w:bottom w:w="100" w:type="dxa"/>
              <w:left w:w="80" w:type="dxa"/>
              <w:right w:w="80" w:type="dxa"/>
            </w:tcMar>
          </w:tcPr>
          <w:p>
            <w:r>
              <w:rPr>
                <w:b/>
                <w:color w:val="FFFFFF"/>
                <w:sz w:val="19"/>
              </w:rPr>
              <w:t>Provisioned Tier</w:t>
            </w:r>
          </w:p>
        </w:tc>
        <w:tc>
          <w:tcPr>
            <w:tcW w:type="dxa" w:w="2484"/>
            <w:shd w:fill="5B8A3C"/>
            <w:tcMar>
              <w:top w:w="100" w:type="dxa"/>
              <w:bottom w:w="100" w:type="dxa"/>
              <w:left w:w="80" w:type="dxa"/>
              <w:right w:w="80" w:type="dxa"/>
            </w:tcMar>
          </w:tcPr>
          <w:p>
            <w:r>
              <w:rPr>
                <w:b/>
                <w:color w:val="FFFFFF"/>
                <w:sz w:val="19"/>
              </w:rPr>
              <w:t>Monthly Cost (USD)</w:t>
            </w:r>
          </w:p>
        </w:tc>
      </w:tr>
      <w:tr>
        <w:tc>
          <w:tcPr>
            <w:tcW w:type="dxa" w:w="2484"/>
            <w:shd w:fill="F4F9EC"/>
            <w:tcMar>
              <w:top w:w="80" w:type="dxa"/>
              <w:bottom w:w="80" w:type="dxa"/>
              <w:left w:w="80" w:type="dxa"/>
              <w:right w:w="80" w:type="dxa"/>
            </w:tcMar>
          </w:tcPr>
          <w:p>
            <w:r>
              <w:rPr>
                <w:sz w:val="18"/>
              </w:rPr>
              <w:t>Frontend &amp; Web Admin</w:t>
            </w:r>
          </w:p>
        </w:tc>
        <w:tc>
          <w:tcPr>
            <w:tcW w:type="dxa" w:w="2484"/>
            <w:shd w:fill="F4F9EC"/>
            <w:tcMar>
              <w:top w:w="80" w:type="dxa"/>
              <w:bottom w:w="80" w:type="dxa"/>
              <w:left w:w="80" w:type="dxa"/>
              <w:right w:w="80" w:type="dxa"/>
            </w:tcMar>
          </w:tcPr>
          <w:p>
            <w:r>
              <w:rPr>
                <w:sz w:val="18"/>
              </w:rPr>
              <w:t>Vercel Cloud</w:t>
            </w:r>
          </w:p>
        </w:tc>
        <w:tc>
          <w:tcPr>
            <w:tcW w:type="dxa" w:w="2484"/>
            <w:shd w:fill="F4F9EC"/>
            <w:tcMar>
              <w:top w:w="80" w:type="dxa"/>
              <w:bottom w:w="80" w:type="dxa"/>
              <w:left w:w="80" w:type="dxa"/>
              <w:right w:w="80" w:type="dxa"/>
            </w:tcMar>
          </w:tcPr>
          <w:p>
            <w:r>
              <w:rPr>
                <w:sz w:val="18"/>
              </w:rPr>
              <w:t>Hobby / Free Tier (Unlimited static deploys, edge CDN)</w:t>
            </w:r>
          </w:p>
        </w:tc>
        <w:tc>
          <w:tcPr>
            <w:tcW w:type="dxa" w:w="2484"/>
            <w:shd w:fill="F4F9EC"/>
            <w:tcMar>
              <w:top w:w="80" w:type="dxa"/>
              <w:bottom w:w="80" w:type="dxa"/>
              <w:left w:w="80" w:type="dxa"/>
              <w:right w:w="80" w:type="dxa"/>
            </w:tcMar>
          </w:tcPr>
          <w:p>
            <w:r>
              <w:rPr>
                <w:b/>
                <w:color w:val="386B24"/>
                <w:sz w:val="18"/>
              </w:rPr>
              <w:t>$0.00 / mo</w:t>
            </w:r>
          </w:p>
        </w:tc>
      </w:tr>
      <w:tr>
        <w:tc>
          <w:tcPr>
            <w:tcW w:type="dxa" w:w="2484"/>
            <w:shd w:fill="FFFFFF"/>
            <w:tcMar>
              <w:top w:w="80" w:type="dxa"/>
              <w:bottom w:w="80" w:type="dxa"/>
              <w:left w:w="80" w:type="dxa"/>
              <w:right w:w="80" w:type="dxa"/>
            </w:tcMar>
          </w:tcPr>
          <w:p>
            <w:r>
              <w:rPr>
                <w:sz w:val="18"/>
              </w:rPr>
              <w:t>REST API Backend</w:t>
            </w:r>
          </w:p>
        </w:tc>
        <w:tc>
          <w:tcPr>
            <w:tcW w:type="dxa" w:w="2484"/>
            <w:shd w:fill="FFFFFF"/>
            <w:tcMar>
              <w:top w:w="80" w:type="dxa"/>
              <w:bottom w:w="80" w:type="dxa"/>
              <w:left w:w="80" w:type="dxa"/>
              <w:right w:w="80" w:type="dxa"/>
            </w:tcMar>
          </w:tcPr>
          <w:p>
            <w:r>
              <w:rPr>
                <w:sz w:val="18"/>
              </w:rPr>
              <w:t>Render Cloud</w:t>
            </w:r>
          </w:p>
        </w:tc>
        <w:tc>
          <w:tcPr>
            <w:tcW w:type="dxa" w:w="2484"/>
            <w:shd w:fill="FFFFFF"/>
            <w:tcMar>
              <w:top w:w="80" w:type="dxa"/>
              <w:bottom w:w="80" w:type="dxa"/>
              <w:left w:w="80" w:type="dxa"/>
              <w:right w:w="80" w:type="dxa"/>
            </w:tcMar>
          </w:tcPr>
          <w:p>
            <w:r>
              <w:rPr>
                <w:sz w:val="18"/>
              </w:rPr>
              <w:t>Free Tier Web Service (512MB RAM, automatic HTTPS)</w:t>
            </w:r>
          </w:p>
        </w:tc>
        <w:tc>
          <w:tcPr>
            <w:tcW w:type="dxa" w:w="2484"/>
            <w:shd w:fill="FFFFFF"/>
            <w:tcMar>
              <w:top w:w="80" w:type="dxa"/>
              <w:bottom w:w="80" w:type="dxa"/>
              <w:left w:w="80" w:type="dxa"/>
              <w:right w:w="80" w:type="dxa"/>
            </w:tcMar>
          </w:tcPr>
          <w:p>
            <w:r>
              <w:rPr>
                <w:b/>
                <w:color w:val="386B24"/>
                <w:sz w:val="18"/>
              </w:rPr>
              <w:t>$0.00 / mo</w:t>
            </w:r>
          </w:p>
        </w:tc>
      </w:tr>
      <w:tr>
        <w:tc>
          <w:tcPr>
            <w:tcW w:type="dxa" w:w="2484"/>
            <w:shd w:fill="F4F9EC"/>
            <w:tcMar>
              <w:top w:w="80" w:type="dxa"/>
              <w:bottom w:w="80" w:type="dxa"/>
              <w:left w:w="80" w:type="dxa"/>
              <w:right w:w="80" w:type="dxa"/>
            </w:tcMar>
          </w:tcPr>
          <w:p>
            <w:r>
              <w:rPr>
                <w:sz w:val="18"/>
              </w:rPr>
              <w:t>Database Persistence</w:t>
            </w:r>
          </w:p>
        </w:tc>
        <w:tc>
          <w:tcPr>
            <w:tcW w:type="dxa" w:w="2484"/>
            <w:shd w:fill="F4F9EC"/>
            <w:tcMar>
              <w:top w:w="80" w:type="dxa"/>
              <w:bottom w:w="80" w:type="dxa"/>
              <w:left w:w="80" w:type="dxa"/>
              <w:right w:w="80" w:type="dxa"/>
            </w:tcMar>
          </w:tcPr>
          <w:p>
            <w:r>
              <w:rPr>
                <w:sz w:val="18"/>
              </w:rPr>
              <w:t>MongoDB Atlas</w:t>
            </w:r>
          </w:p>
        </w:tc>
        <w:tc>
          <w:tcPr>
            <w:tcW w:type="dxa" w:w="2484"/>
            <w:shd w:fill="F4F9EC"/>
            <w:tcMar>
              <w:top w:w="80" w:type="dxa"/>
              <w:bottom w:w="80" w:type="dxa"/>
              <w:left w:w="80" w:type="dxa"/>
              <w:right w:w="80" w:type="dxa"/>
            </w:tcMar>
          </w:tcPr>
          <w:p>
            <w:r>
              <w:rPr>
                <w:sz w:val="18"/>
              </w:rPr>
              <w:t>M0 Free Cluster (512MB storage, multi-region backup)</w:t>
            </w:r>
          </w:p>
        </w:tc>
        <w:tc>
          <w:tcPr>
            <w:tcW w:type="dxa" w:w="2484"/>
            <w:shd w:fill="F4F9EC"/>
            <w:tcMar>
              <w:top w:w="80" w:type="dxa"/>
              <w:bottom w:w="80" w:type="dxa"/>
              <w:left w:w="80" w:type="dxa"/>
              <w:right w:w="80" w:type="dxa"/>
            </w:tcMar>
          </w:tcPr>
          <w:p>
            <w:r>
              <w:rPr>
                <w:b/>
                <w:color w:val="386B24"/>
                <w:sz w:val="18"/>
              </w:rPr>
              <w:t>$0.00 / mo</w:t>
            </w:r>
          </w:p>
        </w:tc>
      </w:tr>
      <w:tr>
        <w:tc>
          <w:tcPr>
            <w:tcW w:type="dxa" w:w="2484"/>
            <w:shd w:fill="FFFFFF"/>
            <w:tcMar>
              <w:top w:w="80" w:type="dxa"/>
              <w:bottom w:w="80" w:type="dxa"/>
              <w:left w:w="80" w:type="dxa"/>
              <w:right w:w="80" w:type="dxa"/>
            </w:tcMar>
          </w:tcPr>
          <w:p>
            <w:r>
              <w:rPr>
                <w:sz w:val="18"/>
              </w:rPr>
              <w:t>Client Build Artifacts</w:t>
            </w:r>
          </w:p>
        </w:tc>
        <w:tc>
          <w:tcPr>
            <w:tcW w:type="dxa" w:w="2484"/>
            <w:shd w:fill="FFFFFF"/>
            <w:tcMar>
              <w:top w:w="80" w:type="dxa"/>
              <w:bottom w:w="80" w:type="dxa"/>
              <w:left w:w="80" w:type="dxa"/>
              <w:right w:w="80" w:type="dxa"/>
            </w:tcMar>
          </w:tcPr>
          <w:p>
            <w:r>
              <w:rPr>
                <w:sz w:val="18"/>
              </w:rPr>
              <w:t>GitHub Actions</w:t>
            </w:r>
          </w:p>
        </w:tc>
        <w:tc>
          <w:tcPr>
            <w:tcW w:type="dxa" w:w="2484"/>
            <w:shd w:fill="FFFFFF"/>
            <w:tcMar>
              <w:top w:w="80" w:type="dxa"/>
              <w:bottom w:w="80" w:type="dxa"/>
              <w:left w:w="80" w:type="dxa"/>
              <w:right w:w="80" w:type="dxa"/>
            </w:tcMar>
          </w:tcPr>
          <w:p>
            <w:r>
              <w:rPr>
                <w:sz w:val="18"/>
              </w:rPr>
              <w:t>Standard Free Runners (2,000 CI minutes/month)</w:t>
            </w:r>
          </w:p>
        </w:tc>
        <w:tc>
          <w:tcPr>
            <w:tcW w:type="dxa" w:w="2484"/>
            <w:shd w:fill="FFFFFF"/>
            <w:tcMar>
              <w:top w:w="80" w:type="dxa"/>
              <w:bottom w:w="80" w:type="dxa"/>
              <w:left w:w="80" w:type="dxa"/>
              <w:right w:w="80" w:type="dxa"/>
            </w:tcMar>
          </w:tcPr>
          <w:p>
            <w:r>
              <w:rPr>
                <w:b/>
                <w:color w:val="386B24"/>
                <w:sz w:val="18"/>
              </w:rPr>
              <w:t>$0.00 / mo</w:t>
            </w:r>
          </w:p>
        </w:tc>
      </w:tr>
    </w:tbl>
    <w:p>
      <w:pPr>
        <w:spacing w:after="320"/>
      </w:pPr>
    </w:p>
    <w:p>
      <w:pPr>
        <w:jc w:val="center"/>
      </w:pPr>
      <w:r>
        <w:rPr>
          <w:i/>
          <w:color w:val="5A6652"/>
          <w:sz w:val="20"/>
        </w:rPr>
        <w:t>--- End of Strategic Business Requirements Document (BRD)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