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  <w:keepNext/>
        <w:pBdr>
          <w:bottom w:val="single" w:sz="6" w:space="4" w:color="000000"/>
        </w:pBdr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HIGH-LEVEL ARCHITECTURE &amp; CLOUD TOPOLOGY SPECIFICATION</w:t>
      </w:r>
    </w:p>
    <w:p>
      <w:pPr>
        <w:spacing w:before="240" w:after="100" w:line="240" w:lineRule="auto"/>
        <w:jc w:val="left"/>
        <w:keepNext/>
        <w:pBdr>
          <w:bottom w:val="single" w:sz="6" w:space="4" w:color="000000"/>
        </w:pBdr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BugBountyTrack — Multi-Tenant Vulnerability Disclosure Platform with Client-Side Cryptographic Isolation and Evidence-Based Remediation Tracking</w:t>
      </w:r>
    </w:p>
    <w:p>
      <w:pPr>
        <w:pBdr>
          <w:bottom w:val="single" w:sz="12" w:space="1" w:color="000000"/>
        </w:pBdr>
        <w:spacing w:before="120" w:after="120"/>
      </w:pP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Document Control &amp; Academic Metadata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Attribute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Document Title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High-Level Architecture &amp; Cloud Topology Specification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Document Version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Revision 1.0 (Academic Milestone Delivery)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Release Date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October 14, 2026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Author / Candidate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(Roll No: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`24-ST-013`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Institution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Punjab Tianjin University of Technology (PTUT), Lahore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Department &amp; Program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Department of Software Engineering Technology — BS Software Engineering Technology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/ Section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24-SET-Fall / Section SET-B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24-st-013@students.ptut.edu.pk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FYP Project Supervisor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(Assistant Professor, PTUT Lahore)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 Identifier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PTUT - PRJ - 089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(Sub-Field: 9. Cybersecurity, Privacy &amp; LegalTech)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Milestone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High-Level Architecture &amp; Cloud Topology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Governing Standards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IEEE Std 42010-2011 (Architecture Description), IEEE Std 830-1998 &amp; ISO/IEC/IEEE 29148:2018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Technical Stack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Next.js 14+ (App Router, TypeScript), Node.js 22 LTS, PostgreSQL 16 (Neon), Cloudflare R2, OpenPGP.js v6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Google Drive Document Link</w:t>
            </w:r>
          </w:p>
        </w:tc>
        <w:tc>
          <w:tcPr>
            <w:tcW w:w="4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High-Level Architecture Specification (Google Drive)</w:t>
            </w:r>
          </w:p>
        </w:tc>
      </w:tr>
    </w:tbl>
    <w:p>
      <w:pPr>
        <w:pBdr>
          <w:bottom w:val="single" w:sz="12" w:space="1" w:color="000000"/>
        </w:pBdr>
        <w:spacing w:before="120" w:after="120"/>
      </w:pPr>
    </w:p>
    <w:p>
      <w:pPr>
        <w:spacing w:before="240" w:after="100" w:line="240" w:lineRule="auto"/>
        <w:jc w:val="left"/>
        <w:keepNext/>
        <w:pBdr>
          <w:bottom w:val="single" w:sz="6" w:space="4" w:color="000000"/>
        </w:pBdr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Supporting Deliverable Documents &amp; Reference Artifacts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w="31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Deliverable Document</w:t>
            </w:r>
          </w:p>
        </w:tc>
        <w:tc>
          <w:tcPr>
            <w:tcW w:w="31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Scope Covered</w:t>
            </w:r>
          </w:p>
        </w:tc>
        <w:tc>
          <w:tcPr>
            <w:tcW w:w="31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Cloud &amp; Repository Reference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1 Discovery: Personas, Charter &amp; MVP Features (`WEEK_1_DISCOVERY_REPORT.docx`)</w:t>
            </w:r>
          </w:p>
        </w:tc>
        <w:tc>
          <w:tcPr>
            <w:tcW w:w="31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Executive Context, 4 Operational Frictions, 2 Provisional Composite Personas, and 5 Core MVP Features</w:t>
            </w:r>
          </w:p>
        </w:tc>
        <w:tc>
          <w:tcPr>
            <w:tcW w:w="31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Week 1 Discovery Doc (Google Drive) (https://docs.google.com/document/d/1drXMfAk4pIKc_9aMKZav62KfVZQ04--zT6VyuhDZKFA/edit?usp=drive_link)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2 Formal IEEE 830 Software Requirements Specification (`SRS.docx`)</w:t>
            </w:r>
          </w:p>
        </w:tc>
        <w:tc>
          <w:tcPr>
            <w:tcW w:w="31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Complete IEEE 830 SRS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Revision 2.8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Table 2.2 Permission Matrix,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4 UML Diagrams, and NFRs</w:t>
            </w:r>
          </w:p>
        </w:tc>
        <w:tc>
          <w:tcPr>
            <w:tcW w:w="31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Week 2 IEEE 830 SRS Doc (Google Drive) (https://docs.google.com/document/d/1n8VKmXeK4TSTPPR-mDXp3NkKwDxvzTzEWR9tgdZlxSg/edit?usp=drive_link)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3 High-Level Architecture &amp; Cloud Topology (`HIGH_LEVEL_ARCHITECTURE.docx`)</w:t>
            </w:r>
          </w:p>
        </w:tc>
        <w:tc>
          <w:tcPr>
            <w:tcW w:w="31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3-Tier Zero-Plaintext Model, DFD Level 0 &amp; Level 1, Defensible System Boundaries, and Cloud Topology Justification</w:t>
            </w:r>
          </w:p>
        </w:tc>
        <w:tc>
          <w:tcPr>
            <w:tcW w:w="31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Local Word: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architecture/HIGH_LEVEL_ARCHITECTURE.docx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Resources/HIGH_LEVEL_ARCHITECTURE.docx</w:t>
            </w:r>
          </w:p>
        </w:tc>
      </w:tr>
    </w:tbl>
    <w:p>
      <w:pPr>
        <w:pBdr>
          <w:bottom w:val="single" w:sz="12" w:space="1" w:color="000000"/>
        </w:pBdr>
        <w:spacing w:before="120" w:after="120"/>
      </w:pPr>
    </w:p>
    <w:p>
      <w:pPr>
        <w:spacing w:before="240" w:after="100" w:line="240" w:lineRule="auto"/>
        <w:jc w:val="left"/>
        <w:keepNext/>
        <w:pBdr>
          <w:bottom w:val="single" w:sz="6" w:space="4" w:color="000000"/>
        </w:pBdr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1. Executive Architecture Summary &amp; Core Objectives</w:t>
      </w: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1.1 Architectural Vision &amp; The Zero-Knowledge Paradigm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a multi-tenant vulnerability coordination platform designed for small software teams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5–50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engineers) and ethical security researchers. Traditional bug bounty systems adopt a trusted-server architecture where vulnerability reports, reproduction steps, and exploit attachments reside in plaintext on application servers.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BugBountyTrack replaces this model with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client-side cryptographic architecture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governed by three core principles: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Zero-Plaintext Server 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Vulnerability descriptions, proof-of-concept (PoC) scripts, and triage discussions are encrypted in the client browser using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OpenPGP.js v6 (`RFC 9580` Curve25519: `Ed25519` signing + `X25519` encryption)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transmission. The application server and database store strictly armored ciphertexts, key fingerprints, and coarse operational metadata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 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Direct-to-Object Encrypted Attachment Pipeline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Binary evidence files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each,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report) are encrypted in browser memory into RFC 9580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binary packets and streamed directly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Cloudflare R2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presigned S3 URLs, completely bypassing serverless memory limits and execution timeouts.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Evidence-Based Remediation &amp; Attested Retest State Machine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Tickets cannot be closed on informal declarations. Defenders must supply verifiable proof—either an authoritative GitHub commit SHA verified via the GitHub REST API v3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an encrypted configuration snapshot bound to a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)—before transitioning through an attested 15-state lifecycle automaton backed by an append-only, hash-chained audit ledger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1.2 Architectural Quality Attributes &amp; Non-Functional Goals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high-level architecture is optimized against four primary non-functional engineering constraints: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Confidentiality &amp; Minimal Trust (`NFR-04`, `NFR-05`)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Application servers, database administrators, and cloud hosting providers possess zero technical capability to decrypt submitted vulnerability bodies or attachments.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Deterministic Remediation Verifiability (`NFR-06`)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state transition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 terminal state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immutably anchored in an append-only ledger using SHA-256 state chaining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Sub-Second Operational Latency (`NFR-01`, `NFR-02`)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API serverless routes achieve &lt; 250 ms p95 response times; client-side OpenPGP v6 Curve25519 key generation executes in &lt; 50 ms; deterministic CVSS v3.1 scoring executes in &lt; 5 ms.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Zero-Dollar Academic Feasibility &amp; Linear Commercial Scaling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entire production architecture operates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$0.00/month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verified free tiers for university evaluation, while commercial scaling requires only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~$61.00/month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10–25 organizations.</w:t>
      </w:r>
    </w:p>
    <w:p>
      <w:pPr>
        <w:pBdr>
          <w:bottom w:val="single" w:sz="12" w:space="1" w:color="000000"/>
        </w:pBdr>
        <w:spacing w:before="120" w:after="120"/>
      </w:pPr>
    </w:p>
    <w:p>
      <w:pPr>
        <w:spacing w:before="240" w:after="100" w:line="240" w:lineRule="auto"/>
        <w:jc w:val="left"/>
        <w:keepNext/>
        <w:pBdr>
          <w:bottom w:val="single" w:sz="6" w:space="4" w:color="000000"/>
        </w:pBdr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2. 3-Tier Zero-Plaintext System Architecture</w:t>
      </w: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2.1 Architectural Tier Model Specification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system is structured as an authoritative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3-Tier Distributed Architecture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where each tier enforces strict physical and cryptographic isolation boundaries: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+-------------------------------------------------------------------------------+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         TIER 1: CLIENT PRESENTATION &amp; CRYPTOGRAPHIC BOUNDARY        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- Modern Web Browser (Next.js 14 Client Runtime, React 18+, Tailwind CSS)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- OpenPGP.js v6 WebCrypto / WebAssembly Curve25519 (Ed25519 / X25519)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- IndexedDB KeyStore, Turnstile Widget, rehype-sanitize AST Cleansing 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+-------------------------------------------------------------------------------+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                                      |   ^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        HTTPS / TLS 1.3 (JSON REST)   |   | Direct S3 Presigned Upload / Download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                                      v   | (Encrypted Ciphertext Attachments)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+-------------------------------------------------------------------------------+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         TIER 2: PRESENTATION &amp; GATEWAY / API SERVER TIER           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- Unified Next.js 14+ App Router on Node.js 22 LTS (Vercel Serverless Fleet)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- Stateless API Handlers (/api/v1/*, /.well-known/security.txt)      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- Server-Side RBAC, Session Governance, Shared-Store Rate Limiting    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- Pure TypeScript FIRST.org CVSS v3.1 Base Scoring Engine (8.22 Constant)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- GitHub REST API v3 Integration &amp; Resend Transactional Mail Service  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- Hourly Scheduled Cron Engine (Ed25519 X-Cron-Signature Authentication)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+-------------------------------------------------------------------------------+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                               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                     TLS 1.3 Pooled TCP (PgBouncer: Port 6543)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                                      v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+-------------------------------------------------------------------------------+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              TIER 3: PERSISTENCE &amp; STORAGE TIER                    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- Relational Database: Neon Serverless PostgreSQL 16 (bbt_core Schema)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* FORCE ROW LEVEL SECURITY on all tenant tables (bbt_app_runtime role)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* Hardened SECURITY DEFINER Functions (SET search_path = pg_catalog,...)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* Append-Only Hash-Chained Audit Ledger (SHA-256 prev_hash &amp; Checkpoints)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- Object Storage: Cloudflare R2 (S3-Compatible, SSE-R2 At-Rest Encryption)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+-------------------------------------------------------------------------------+</w:t>
      </w:r>
    </w:p>
    <w:p>
      <w:pPr>
        <w:spacing w:before="140" w:after="6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Tier 1: Client Presentation &amp; Cryptographic Boundary (Web Browser)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client tier executes inside the user's web browser (Firefox, Chromium, Safari). It is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sole trust boundary where unencrypted vulnerability data exists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UI &amp; Rendering Engine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14+ Client Components styled with Tailwind CSS, conforming to WCAG 2.2 AA accessibility standards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24 x 24 px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minimum touch targets).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Cryptographic Engine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Pinned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utilizing the browser's native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WebCrypto API and WebAssembly for high-speed Curve25519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Ed25519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encryption). It executes: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Account-less ephemeral key generation (&lt; 50 ms).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Multi-recipient payload encryption wrapping symmetric session keys for authorized program defenders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organization recovery keys.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Symmetric encryption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packages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 9580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SYMENC+SEIPDv2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Argon2id S2K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Storage &amp; Sanitization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Private keys are maintained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protected by user passphrases. Decrypted report bodies and Markdown comments pass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AST cleansing, neutralizing the 100-vector OWASP XSS attack corpus prior to DOM injection.</w:t>
      </w:r>
    </w:p>
    <w:p>
      <w:pPr>
        <w:spacing w:before="140" w:after="6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Tier 2: Presentation &amp; Gateway / API Server Tier (Serverless Compute)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application tier runs as a serverless fleet 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Node.js 22 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hosted on Vercel's global infrastructure: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Stateless API Gateway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Exposes structured JSON REST endpoints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public RFC 9116 endpoints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Serverless functions are stateless and spin up in &lt; 150 ms.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Authentication &amp; RBAC Middleware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Validates Argon2id session tokens, checks HTTP-only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SameSite=Strict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cookies, enforces tenant isolation by injecting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database execution contexts, and requires mandatory TOTP MFA step-up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operations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FR-1.3c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Deterministic CVSS v3.1 Engine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pure TypeScript implementation of FIRST.org CVSS v3.1 Base scoring. It calculates vulnerability scores on the server using the official coefficient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`8.22`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Appendix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 function, verifying 100% mathematical parity across the 45 reference test fixtures.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External Adapters &amp; Scheduled Worker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Integrates with the GitHub REST API v3 to verify commit existence and branch inclusion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dispatches metadata-only notification emails via Resend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executes hourly claim-lease cleanup tasks authenticated via Ed25519 signed JWT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140" w:after="6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Tier 3: Persistence &amp; Storage Tier (Managed Cloud Data)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persistence tier provides durability, multi-tenant isolation, and binary storage: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Neon Serverless PostgreSQL 16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Relational storage partitioned under the dedicated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schema. All tables enforce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`FORCE ROW LEVEL SECURITY`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the unprivileged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database role. Connection pooling is multiplexed through PgBouncer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?pgbouncer=true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eliminate connection exhaustion during traffic spikes.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Hash-Chained Audit Ledger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Implements an immutable audit trail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where every state transition, access grant, and remediation attestation is cryptographically bound to the previous event via SHA-256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Cloudflare R2 Object 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S3-compatible, zero-egress-fee distributed object storage holding client-encrypted binary PoC attachments. Objects are addressed by UUIDv4 keys and protected at rest by Cloudflare SSE-R2 AES-256 encryption.</w:t>
      </w:r>
    </w:p>
    <w:p>
      <w:pPr>
        <w:pBdr>
          <w:bottom w:val="single" w:sz="12" w:space="1" w:color="000000"/>
        </w:pBdr>
        <w:spacing w:before="120" w:after="120"/>
      </w:pP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2.2 Visual 3-Tier Architecture Diagram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structural relationship, protocols, and security boundaries across the three tiers are illustrated below: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5800000" cy="3132338"/>
            <wp:effectExtent l="0" t="0" r="0" b="0"/>
            <wp:docPr id="201" name="Figure 3.1 3-Tier Zero-Plaintext Architecture Diagram" descr="Figure 3.1 3-Tier Zero-Plaintext Architecture 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Figure 3.1 3-Tier Zero-Plaintext Architecture Diagram"/>
                    <pic:cNvPicPr>
                      <a:picLocks noChangeAspect="1" noChangeArrowheads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313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12" w:space="1" w:color="000000"/>
        </w:pBdr>
        <w:spacing w:before="120" w:after="120"/>
      </w:pP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2.3 Tier-to-Tier Communication Protocols &amp; Interface Contracts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Interface Channel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Source Tier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Destination Tier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Transport Protocol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Authentication &amp; Payload Contract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Client API Calls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1 (Browser)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2 (Next.js API)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HTTPS (TLS 1.3)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HTTP-only Session Cookie / Turnstile Token; JSON payloads (Class A metadata + Class B/C armored ciphertext).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Direct Attachment Upload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1 (Browser)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3 (Cloudflare R2)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HTTPS (TLS 1.3)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Pre-signed S3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URL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If-None-Match: *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binary RFC 9580 SEIPDv2 encrypted ciphertext.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Direct Attachment Download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1 (Browser)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3 (Cloudflare R2)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HTTPS (TLS 1.3)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Pre-signed S3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GET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URL (15-minute expiry); streaming binary ciphertext decrypted locally in browser.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Database Queries &amp; Pools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2 (Next.js API)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3 (Neon DB)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TLS 1.3 TCP (Port 6543)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Prisma ORM 5.x connection via PgBouncer; queries execute within parameterized SQL transactions.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 Attestation Query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2 (Next.js API)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External (GitHub API)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HTTPS (TLS 1.3)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 App / PAT Bearer token; queries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GET /repos/{owner}/{repo}/commits/{sha}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branch comparisons.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Transactional Email Alerts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2 (Next.js API)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External (Resend API)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HTTPS (TLS 1.3)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Resend API Bearer Token; dispatches JSON containing Class A metadata only (zero vulnerability body).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Hourly Cron Invocation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External (GitHub GHA)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2 (Next.js API)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HTTPS (TLS 1.3)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HTTP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/api/cron/process-deadlines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Ed25519-signed JWT in header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X-Cron-Signature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</w:tbl>
    <w:p>
      <w:pPr>
        <w:pBdr>
          <w:bottom w:val="single" w:sz="12" w:space="1" w:color="000000"/>
        </w:pBdr>
        <w:spacing w:before="120" w:after="120"/>
      </w:pPr>
    </w:p>
    <w:p>
      <w:pPr>
        <w:spacing w:before="240" w:after="100" w:line="240" w:lineRule="auto"/>
        <w:jc w:val="left"/>
        <w:keepNext/>
        <w:pBdr>
          <w:bottom w:val="single" w:sz="6" w:space="4" w:color="000000"/>
        </w:pBdr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3. Data Flow Diagrams (DFD)</w:t>
      </w: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3.1 DFD Level 0: System Context Diagram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Level 0 Context Diagram models BugBountyTrack as a unified central process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identifying the six external entities that interact across its perimeter: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5800000" cy="4219949"/>
            <wp:effectExtent l="0" t="0" r="0" b="0"/>
            <wp:docPr id="202" name="Figure 3.2 DFD Level 0 Context Diagram" descr="Figure 3.2 DFD Level 0 Context 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Figure 3.2 DFD Level 0 Context Diagram"/>
                    <pic:cNvPicPr>
                      <a:picLocks noChangeAspect="1" noChangeArrowheads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42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40" w:after="6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External Entity Inflow &amp; Outflow Specifications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E1: Security Researcher (Ethical Hacker / Account-Less Guest)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Inflows to System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Policy discovery requests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Turnstile verification tokens, encrypted vulnerability submission payloads (Class B ciphertext), guest recovery passphrases, encrypted triage responses, and attested retest verdicts.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Outflows to 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Signed RFC 9116 security policies, presigned R2 upload URLs, secret tracking URL fragments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#token=...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recovery packages, and encrypted defender clarification requests.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E2: Organization Defender (Security Lead / Program Owner)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Inflows to System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registration parameters, program scope definitions, Ed25519/X25519 public keys, encrypted triage comments (Class B/C), CVSS base metric adjustments, remediation claims (GitHub commit SHA or config snapshot), and closure triggers.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Outflows to 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Encrypted vulnerability report queues, computed CVSS scores and canonical vectors, retest outcome notifications, and signed cryptographic closure evidence exports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E3: GitHub REST API v3 (Version Control Integration)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Inflows to System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Authoritative commit verification responses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author, timestamp, parent tree), branch comparison inclusion flags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identical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rate-limit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Outflows from System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Automated commit lookup requests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branch compare queries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/repos/{owner}/{repo}/compare/{sha}...{branch}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E4: Resend Mail Service (Transactional Notifications)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Outflows from System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Minimal Class A operational metadata notification payloads (organization name, report tracking ID, coarse status update, zero plaintext vulnerability descriptions).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E5: Cloudflare R2 Object Storage (Encrypted Attachment Store)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Inflows to 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Direct streaming encrypted binary ciphertext uploads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via presigned URLs issued to researchers.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Outflows to System / Browser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Direct streaming encrypted binary ciphertext downloads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via presigned URLs issued to authorized defenders;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metadata queries issued by API routes.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E6: GitHub Actions Automation (Hourly Cron Scheduler)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Inflows to System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Scheduled hourly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triggers authenticated via Ed25519-signed JSON Web Tokens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initiating claim-lease cleanup, overdue clarification timeouts, and storage reclamation.</w:t>
      </w:r>
    </w:p>
    <w:p>
      <w:pPr>
        <w:pBdr>
          <w:bottom w:val="single" w:sz="12" w:space="1" w:color="000000"/>
        </w:pBdr>
        <w:spacing w:before="120" w:after="120"/>
      </w:pP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3.2 DFD Level 1: Functional System Decomposition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Level 1 Data Flow Diagram decomposes Process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seven discrete functional sub-processes interacting with seven persistent data stores: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5800000" cy="1659301"/>
            <wp:effectExtent l="0" t="0" r="0" b="0"/>
            <wp:docPr id="203" name="Figure 3.3 DFD Level 1 Functional Decomposition Diagram" descr="Figure 3.3 DFD Level 1 Functional Decomposition 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Figure 3.3 DFD Level 1 Functional Decomposition Diagram"/>
                    <pic:cNvPicPr>
                      <a:picLocks noChangeAspect="1" noChangeArrowheads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165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40" w:after="6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Functional Sub-Process Specifications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Process 1.0: Tenant Registration &amp; Session Governance (`FR-1.1` – `FR-1.5`)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Handles organization onboarding, custom slug reservation, Argon2id user password hashing, session issuance, and mandatory TOTP MFA step-up verification.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Data Stores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Reads/Writes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D1: Organizations &amp; Tenant Registry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D2: Key Store &amp; Recipient Snapshots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Process 2.0: RFC 9116 Policy &amp; Cryptographic Key Management (`FR-2.1` – `FR-2.5`, `FR-3.1` – `FR-3.8`)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Generates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files, facilitates browser cleartext PGP signing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-----BEGIN PGP SIGNED MESSAGE-----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domain ownership via DNS TXT challenges, and catalogs active defender public keys.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Data Stores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Reads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Reads/Writes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Process 3.0: Cryptographic Intake &amp; Encrypted Attachment Pipeline (`FR-3.5`, `FR-3.6`, `FR-1.6`)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Verifies Cloudflare Turnstile tokens, issues single-use submission session tokens, validates program key version snapshots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generates S3 presigned upload URLs after checking quota boundaries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records initial reports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Data Stores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Reads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Writes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D3: Reports &amp; Triage Threads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D5: Cloudflare R2 Encrypted Files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D6: Hash-Chained Audit Ledger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Process 4.0: Deterministic CVSS v3.1 Scoring Engine (`FR-4.1` – `FR-4.4`)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Parses the 8 FIRST.org Base metrics, rejects invalid or out-of-order combinations, executes the official mathematical scoring algorithm with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8.22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coefficient, and stores the canonical vector string and calculated numeric score.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Data Stores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Writes score and vector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Process 5.0: Dual-Lane Triage &amp; Notification Broker (`FR-5.1` – `FR-5.5`)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Orchestrates report-scoped encrypted message threads, enforcing dual-lane isolation: Class B (shared researcher/defender) vs. Class C (internal defender-only). Dispatches Class A metadata-only alerts to external mail services.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Data Stores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Reads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Reads/Writes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Writes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triggers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E4: Resend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Process 6.0: Remediation Attestation &amp; GitHub Verification (`FR-6.1` – `FR-6.4`)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Enforces the 3-step remediation workflow: captures proposed fix metadata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executes live commit verification against the GitHub REST API v3 or validates encrypted configuration snapshots, and advances status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Data Stores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Reads/Writes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D4: Remediation Records &amp; Commit Hashes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Queries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E3: GitHub API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Process 7.0: Attested Retest Lifecycle &amp; Audit Ledger Engine (`FR-7.1` – `FR-7.7`, `FR-8.4` – `FR-8.5`)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Executes the 15-state lifecycle state machine, records attested retest confirmations or timeout closures, appends SHA-256 hash-chained audit events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coordinates hourly claim-lease R2 garbage collection, and exports verifiable closure evidence packets.</w:t>
      </w:r>
    </w:p>
    <w:p>
      <w:pPr>
        <w:spacing w:before="30" w:after="30" w:line="240" w:lineRule="auto"/>
        <w:jc w:val="left"/>
        <w:ind w:left="72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Data Stores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Reads/Writes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140" w:after="6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Persistent Data Store Specifications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Store ID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Name &amp; Physical Entity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Storage Engine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Scope &amp; Retention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D1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Organizations &amp; Tenant Registry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Neon PostgreSQL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bbt_core.organizations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 metadata, slug bindings, subscription tiers, and domain challenges.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D2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 Store &amp; Recipient Snapshots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Neon PostgreSQL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bbt_core.user_keys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program_defenders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Armored public keys, key fingerprints, user key bindings, and report recipient version snapshots.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D3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Reports &amp; Triage Threads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Neon PostgreSQL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triage_messages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 titles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operational labels, state versions, and Class B/C message threads.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D4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 Records &amp; Commit Hashes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Neon PostgreSQL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bbt_core.remediation_records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 SHAs, verification timestamps, config artifact ciphertexts, and config SHA-256 hashes.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D5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 Attachments Bucket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Cloudflare R2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bbt-attachments-prod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 binary attachments (RFC 9580 SEIPDv2 packets), immutable UUID keys, zero plaintext.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D6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Hash-Chained Audit Ledger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Neon PostgreSQL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Append-only sequence numbers, actor commitments, event digests, and cryptographic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prev_hash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links.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D7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Storage Quotas &amp; Claim Leases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Neon PostgreSQL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cluster_storage_state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upload_reservations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Multi-tenant quota accounting, Priority-0 reserve floors, and active claim-lease records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claim_expires_at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</w:tr>
    </w:tbl>
    <w:p>
      <w:pPr>
        <w:pBdr>
          <w:bottom w:val="single" w:sz="12" w:space="1" w:color="000000"/>
        </w:pBdr>
        <w:spacing w:before="120" w:after="120"/>
      </w:pPr>
    </w:p>
    <w:p>
      <w:pPr>
        <w:spacing w:before="240" w:after="100" w:line="240" w:lineRule="auto"/>
        <w:jc w:val="left"/>
        <w:keepNext/>
        <w:pBdr>
          <w:bottom w:val="single" w:sz="6" w:space="4" w:color="000000"/>
        </w:pBdr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4. Defensible System Boundaries &amp; Trust Domain Isolation</w:t>
      </w: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4.1 Boundary Domain Architecture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security posture of BugBountyTrack rests on establishing four unambiguous, non-overlapping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trust domains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[ UNTRUSTED PUBLIC INTERNET ]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     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 - - - - - v - - - - - - - - - - - - - - - - - - - - - - - - - - - - - 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DOMAIN 1: CLIENT CRYPTOGRAPHIC TRUST BOUNDARY (Browser Client)  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 * Plaintext vulnerability data and private keys exist ONLY here.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 * OpenPGP.js v6 WebCrypto encryption/decryption execution.     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 * DOMPurify / rehype-sanitize AST cleansing prior to rendering.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 - - - - - - - - - - - - - - - - - - - - - - - - - - - - - - - - - - - 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            | HTTPS TLS 1.3 (Ciphertext Only)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 - - - - - v - - - - - - - - - - - - - - - - - - - - - - - - - - - - - 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DOMAIN 2: SERVERLESS API ROUTING BOUNDARY (Vercel Node.js 22 LTS)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 * Zero plaintext visibility; handles only armored ciphertext.  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 * Ephemeral execution memory (no disk or cache persistence).   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 * RBAC, Session Validation, Turnstile verification.           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 - - - - - - - - - - - - - - - - - - - - - - - - - - - - - - - - - - - 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            | TLS 1.3 Pooled TCP (bbt_app_runtime)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 - - - - - v - - - - - - - - - - - - - - - - - - - - - - - - - - - - - 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DOMAIN 3: DATABASE PERSISTENCE BOUNDARY (Neon PostgreSQL 16)   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 * FORCE ROW LEVEL SECURITY isolates tenant data rows.          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 * Unprivileged bbt_app_runtime role (NOSUPERUSER NOBYPASSRLS).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 * Append-only audit ledger prevents tampering or deletion.     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 - - - - - - - - - - - - - - - - - - - - - - - - - - - - - - - - - - - 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            | HTTPS S3 API (Direct Presigned Upload/Download)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 - - - - - v - - - - - - - - - - - - - - - - - - - - - - - - - - - - - 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DOMAIN 4: OBJECT STORAGE BOUNDARY (Cloudflare R2)               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 * Presigned URL time-limited access (15-minute lease).         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 * Client-side encrypted binary payloads (SSE-R2 at rest).      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:  * Zero server byte proxying.                                         :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 - - - - - - - - - - - - - - - - - - - - - - - - - - - - - - - - - - - +</w:t>
      </w: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4.2 Comprehensive STRIDE Threat Mitigation Analysis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Threat Category (STRIDE)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Attack Vector &amp; Surface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Primary Architectural Mitigation &amp; Security Control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Target Requirement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Spoofing Identity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Malicious actor attempts to forge researcher identity or impersonate an organization defender.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 Argon2id password hashing + mandatory TOTP MFA for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10-minute step-up.&lt;br/&gt;2. Account-less guest requests require single-use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guest_mutation_nonces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detached OpenPGP v6 Ed25519 signatures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).&lt;br/&gt;3. Hourly cron requests require Ed25519-signed JWTs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X-Cron-Signature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FR-5.4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Tampering with Data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Attacker modifies vulnerability write-up, alters audit records, or tampers with closure status.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 Client payloads use OpenPGP SEIPDv2 with AEAD integrity verification.&lt;br/&gt;2. Audit ledger enforces append-only semantics via PostgreSQL triggers and SHA-256 hash chaining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prev_hash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).&lt;br/&gt;3. Optimistic concurrency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prevents lost updates or race condition tampering.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Repudiation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Defender falsely claims a bug was fixed, or researcher denies submitting a report.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 Fixing requires automated verification of a real GitHub commit SHA via the GitHub REST API v3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check) or an immutable config hash.&lt;br/&gt;2. Retest closures generate cryptographic Closure Evidence Exports signed with Ed25519.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Information Disclosure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Database breach or malicious platform operator attempts to harvest zero-day exploit details.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 Client-Side OpenPGP v6 Curve25519 encryption: server and database store strictly ciphertext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report body, attachments).&lt;br/&gt;2. Dual-lane threading guarantees Class C internal notes are never encrypted for the researcher's key.&lt;br/&gt;3. Raw guest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access_token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values are never stored in database retry caches.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FR-1.6b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Denial of Service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Bot swarm exhausts serverless function compute, floods database storage, or uploads huge files.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 Cloudflare Turnstile bot verification required before issuing submission session tokens.&lt;br/&gt;2. Shared-store rate limiter restricts unauthenticated submissions (5 req/hr/IP).&lt;br/&gt;3. Strict storage quotas: 50 MB DB cap, 1.0 GiB R2 tenant cap, and 300 KiB Priority-0 reserve floor.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Elevation of Privilege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 user attempts to access reports belonging to another organization (IDOR / Multi-Tenant leak).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 PostgreSQL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all tenant tables bound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app.current_org_id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.&lt;br/&gt;2. Runtime executes under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bbt_app_runtime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NOSUPERUSER NOBYPASSRLS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).&lt;br/&gt;3. Hardened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DEFINER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functions enforce clean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search_path = pg_catalog, bbt_core, 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FR-1.1</w:t>
            </w:r>
          </w:p>
        </w:tc>
      </w:tr>
    </w:tbl>
    <w:p>
      <w:pPr>
        <w:pBdr>
          <w:bottom w:val="single" w:sz="12" w:space="1" w:color="000000"/>
        </w:pBdr>
        <w:spacing w:before="120" w:after="120"/>
      </w:pPr>
    </w:p>
    <w:p>
      <w:pPr>
        <w:spacing w:before="240" w:after="100" w:line="240" w:lineRule="auto"/>
        <w:jc w:val="left"/>
        <w:keepNext/>
        <w:pBdr>
          <w:bottom w:val="single" w:sz="6" w:space="4" w:color="000000"/>
        </w:pBdr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5. Cloud Infrastructure Stack Justification &amp; Cost Feasibility</w:t>
      </w: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5.1 Cloud Infrastructure Topology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physical hosting deployment across Cloudflare Edge, Vercel Serverless, Neon PostgreSQL, and Cloudflare R2 is mapped below: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5800000" cy="5372787"/>
            <wp:effectExtent l="0" t="0" r="0" b="0"/>
            <wp:docPr id="204" name="Figure 3.4 Cloud Infrastructure Topology Diagram" descr="Figure 3.4 Cloud Infrastructure Topology 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Figure 3.4 Cloud Infrastructure Topology Diagram"/>
                    <pic:cNvPicPr>
                      <a:picLocks noChangeAspect="1" noChangeArrowheads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537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12" w:space="1" w:color="000000"/>
        </w:pBdr>
        <w:spacing w:before="120" w:after="120"/>
      </w:pP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5.2 Component-by-Component Technology Stack Justification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+-------------------------------------------------------------------------------------------------------------------------+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                                TECHNOLOGY STACK EVALUATION &amp; JUSTIFICATION MATRIX                            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+-------------------+------------------------------+-------------------------------+--------------------------------------+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Subsystem Layer   | Chosen Technology            | Primary Alternatives Evaluated| Architectural Rationale &amp; Trade-Off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+-------------------+------------------------------+-------------------------------+--------------------------------------+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Frontend &amp; API    | Next.js 14+ App Router       | React SPA + Express.js API;    | Unified TypeScript codebase eliminates API contract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Fullstack Engine  | (Node.js 22 LTS on Vercel)   | Go / Gin Microservices        | drift; React Server Components provide zero-bundle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               |                              |                               | rendering; Serverless scales to zero with no idle fee|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+-------------------+------------------------------+-------------------------------+--------------------------------------+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Application       | Vercel Serverless Compute    | AWS ECS / Fargate (Docker);   | Eliminates container orchestration toil, OS patching,|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Runtime Fleet     | (Global Edge + Lambda Core)  | Kubernetes (EKS / GKE); VPS   | and VPC maintenance for a solo student engineer;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               |                              |                               | sub-150ms cold starts via optimized route bundling.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+-------------------+------------------------------+-------------------------------+--------------------------------------+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Relational        | Neon Serverless PostgreSQL 16| Supabase; AWS Aurora;         | True serverless compute autoscaling (0.25 to 2 CU);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Database Engine   | (with PgBouncer Pooling)     | MongoDB Atlas; DynamoDB       | built-in PgBouncer pooling prevents connection drops;|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               |                              |                               | robust RLS engine and ACID transactions for audit.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+-------------------+------------------------------+-------------------------------+--------------------------------------+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Object Storage    | Cloudflare R2                | AWS S3 Standard;              | S3-compatible API with ZERO bandwidth egress fees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Persistence       | (Direct Presigned Uploads)   | Google Cloud Storage (GCS)    | (eliminating unbounded egress billing risks from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               |                              |                               | large PoC video downloads); global multi-region speed|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+-------------------+------------------------------+-------------------------------+--------------------------------------+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Bot Protection &amp;  | Cloudflare Turnstile         | Google reCAPTCHA v3;          | Privacy-preserving, non-interactive bot verification;|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Perimeter Defense | &amp; Cloudflare Anycast WAF     | hCaptcha                      | zero user tracking cookies; seamless Next.js drop-in;|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               |                              |                               | protects unauthenticated guest intake endpoints.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+-------------------+------------------------------+-------------------------------+--------------------------------------+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Transactional     | Resend API                   | AWS SES; SendGrid;            | Clean modern REST API with native React Email support|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Notification Mail | (Node.js REST SDK)           | Postmark                      | and zero complex SMTP handshake overhead; free tier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               |                              |                               | provides 3,000 metadata-only alerts/month.    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+-------------------+------------------------------+-------------------------------+--------------------------------------+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Continuous        | GitHub Actions               | GitLab CI; CircleCI;          | Native repository integration; provides 2,000 free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Automation &amp; Cron | (Ubuntu 22.04 LTS Runners)   | AWS EventBridge               | runner minutes/month; executes hourly scheduled jobs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|                   |                              |                               | with cryptographically signed Ed25519 tokens.        |</w:t>
      </w:r>
    </w:p>
    <w:p>
      <w:pPr>
        <w:spacing w:before="0" w:after="0" w:line="200" w:lineRule="auto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18"/>
          <w:szCs w:val="18"/>
        </w:rPr>
        <w:t xml:space="preserve">+-------------------+------------------------------+-------------------------------+--------------------------------------+</w:t>
      </w:r>
    </w:p>
    <w:p>
      <w:pPr>
        <w:pBdr>
          <w:bottom w:val="single" w:sz="12" w:space="1" w:color="000000"/>
        </w:pBdr>
        <w:spacing w:before="120" w:after="120"/>
      </w:pP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5.3 Infrastructure Cost Feasibility &amp; Financial Viability Analysis</w:t>
      </w:r>
    </w:p>
    <w:p>
      <w:pPr>
        <w:spacing w:before="140" w:after="6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Academic Demonstration Budget (Zero-Cost Baseline)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satisfy university evaluation requirements without requiring external departmental funding or personal cash outlay, the entire architecture operates within documented permanent free tiers: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Infrastructure Layer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Cloud Provider &amp; Tier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Quota Allocation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Demonstration Cost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Application &amp; API Serverless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Vercel Cloud (Hobby Developer Tier)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 GB-hrs compute, 100 GB bandwidth, unlimited SSL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$0.00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Serverless Database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Neon PostgreSQL 16 (Free Tier)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512 MB storage, 1 project, autoscaling 0.25 CU, PgBouncer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$0.00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 File Storage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Cloudflare R2 (Free Tier)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 GB storage, 1M Class A operations, 10M Class B ops, $0 egress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$0.00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Perimeter Bot Defense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Cloudflare Turnstile (Free Tier)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Unlimited unauthenticated visitor challenges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$0.00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Transactional Email Alerts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Resend (Developer Free Tier)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3,000 emails/month, 100 emails/day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$0.00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CI/CD &amp; Hourly Cron Automation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 Actions (Standard Runners)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2,000 free Linux build minutes/month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$0.00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TOTAL ACADEMIC EVALUATION COST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Fully Functional FYP Prototype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$0.00 / month</w:t>
            </w:r>
          </w:p>
        </w:tc>
      </w:tr>
    </w:tbl>
    <w:p>
      <w:pPr>
        <w:spacing w:before="140" w:after="6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Commercial Production Budget (10–25 Organizations Baseline)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When transitioning to commercial production for small software startups, the architecture scales linearly with minimal fixed overhead: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Infrastructure Layer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Commercial Cloud Tier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Purpose &amp; Sizing Bounds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Monthly Cost ($USD)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Vercel Pro Application Fleet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Vercel Pro ($20/seat, 1 seat)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Commercial SLA, hourly cron jobs, zero cold-start optimization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$20.00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Neon Production Database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Neon Launch Plan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 GB storage, autoscaling compute up to 2 CU, 7-day PITR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$19.00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Cloudflare R2 Object Storage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R2 Pay-As-You-Go ($0.015/GB-mo)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 GB pooled encrypted attachment storage ($0.00 egress)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$0.75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Resend Commercial Email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Resend Pro Baseline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50,000 transactional notification emails/month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$20.00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Cloudflare Domain &amp; DNS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Cloudflare Registrar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Amortized yearly domain registration fee ($15/year)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$1.25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TOTAL COMMERCIAL RUNTIME BASELINE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Supports 25 Startups (~2,500 reports/year)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~$61.00 / month</w:t>
            </w:r>
          </w:p>
        </w:tc>
      </w:tr>
    </w:tbl>
    <w:p>
      <w:pPr>
        <w:spacing w:before="40" w:after="40" w:line="240" w:lineRule="auto"/>
        <w:jc w:val="left"/>
        <w:ind w:left="360"/>
        <w:pBdr>
          <w:left w:val="single" w:sz="18" w:space="8" w:color="000000"/>
        </w:pBdr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Financial Viability Finding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At a modest commercial price point of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$49.00/month per organization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for the Team Tier, BugBountyTrack achieves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break-even profitability with just two paying customers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($98.00 revenue - $61.00 cloud cost = +$37.00 net margin), establishing exceptional commercial sustainability.</w:t>
      </w:r>
    </w:p>
    <w:p>
      <w:pPr>
        <w:pBdr>
          <w:bottom w:val="single" w:sz="12" w:space="1" w:color="000000"/>
        </w:pBdr>
        <w:spacing w:before="120" w:after="120"/>
      </w:pPr>
    </w:p>
    <w:p>
      <w:pPr>
        <w:spacing w:before="240" w:after="100" w:line="240" w:lineRule="auto"/>
        <w:jc w:val="left"/>
        <w:keepNext/>
        <w:pBdr>
          <w:bottom w:val="single" w:sz="6" w:space="4" w:color="000000"/>
        </w:pBdr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6. Bidirectional Architecture Traceability Matrix (RTM)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matrix maps high-level architectural tiers, components, and DFD processes directly to the Week 2 SRS Functional Requirements and formal Use Cases: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DFD Process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Architectural Tier &amp; Component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Traced Functional Requirements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Traced Use Cases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Verification Criterion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2 (Auth Middleware, Session Service)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FR-1.5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UC-05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Argon2id session generation; TOTP MFA step-up verification;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context injection.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2.0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1 (Crypto Engine) &amp; Tier 2 (RFC 9116 Router)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FR-3.1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UC-02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Valid RFC 9116 manifest rendered; Ed25519 in-browser cleartext signature; DNS TXT challenge match.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3.0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1 (OpenPGP.js) &amp; Tier 3 (R2 Bucket, Neon DB)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FR-8.3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Turnstile CAPTCHA validation; presigned S3 upload; zero raw plaintext in SQL insert;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.bbt-recovery.json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issuance.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4.0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2 (CVSS v3.1 Pure TypeScript Engine)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FR-4.4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UC-03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 mathematical parity across 45 FIRST.org test fixtures; calculation completes in &lt; 5 ms.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5.0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2 (Triage Controller) &amp; Tier 3 (Neon DB)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FR-5.5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UC-03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Dual-lane message separation (Class B vs C); recipient version snapshot matching; minimal metadata email dispatch.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6.0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2 (Remediation Service) &amp; External (GitHub)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FR-6.4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UC-04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 REST API commit validation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); encrypted config snapshot hash binding.</w:t>
            </w:r>
          </w:p>
        </w:tc>
      </w:tr>
      <w:tr>
        <w:trPr>
          <w:cantSplit/>
        </w:trPr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7.0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Tier 2 (FSM Engine) &amp; Tier 3 (Audit Ledger, Neon)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UC-07</w:t>
            </w:r>
          </w:p>
        </w:tc>
        <w:tc>
          <w:tcPr>
            <w:tcW w:w="187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spacing w:before="40" w:after="40" w:line="240" w:lineRule="auto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15-state transition guard; append-only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prev_hash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chaining; hourly claim-lease R2 reclamation; signed closure export.</w:t>
            </w:r>
          </w:p>
        </w:tc>
      </w:tr>
    </w:tbl>
    <w:p>
      <w:pPr>
        <w:pBdr>
          <w:bottom w:val="single" w:sz="12" w:space="1" w:color="000000"/>
        </w:pBdr>
        <w:spacing w:before="120" w:after="120"/>
      </w:pPr>
    </w:p>
    <w:p>
      <w:pPr>
        <w:spacing w:before="240" w:after="100" w:line="240" w:lineRule="auto"/>
        <w:jc w:val="left"/>
        <w:keepNext/>
        <w:pBdr>
          <w:bottom w:val="single" w:sz="6" w:space="4" w:color="000000"/>
        </w:pBdr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7. Document Submission &amp; Milestone Sign-Off</w:t>
      </w: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7.1 Single Student Author Endorsement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 hereby certify that this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High-Level Architecture &amp; Cloud Topology Specification (Version 1.0)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represents an original, standards-compliant architectural baseline authored independently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All architectural patterns, trust boundaries, data flows, and infrastructure cost models have been rigorously formulated to satisfy the University Final Year Project syllabus.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Student Author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Taha Asadullah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Roll Number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24-ST-013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(Section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SET-B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[Signed Electronically — Taha Asadullah]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October 14, 2026</w:t>
      </w:r>
    </w:p>
    <w:p>
      <w:pPr>
        <w:pBdr>
          <w:bottom w:val="single" w:sz="12" w:space="1" w:color="000000"/>
        </w:pBdr>
        <w:spacing w:before="120" w:after="120"/>
      </w:pPr>
    </w:p>
    <w:p>
      <w:pPr>
        <w:spacing w:before="180" w:after="80" w:line="240" w:lineRule="auto"/>
        <w:jc w:val="left"/>
        <w:keepNext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7.2 Academic Supervisor Review &amp; Endorsement</w:t>
      </w:r>
    </w:p>
    <w:p>
      <w:pPr>
        <w:spacing w:before="60" w:after="80" w:line="240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 have reviewed the High-Level Architecture &amp; Cloud Topology Specification, including the 3-Tier Zero-Plaintext Model, Data Flow Diagrams (DFD Level 0 and Level 1), System Trust Boundaries, and Cloud Infrastructure Justification. The architectural design meets departmental requirements for Phase 2 system design.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Academic Supervisor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Sir Umar Hayat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Department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Department of Software Engineering Technology, PTUT Lahore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[PENDING ACADEMIC SUPERVISOR EVALUATION &amp; SIGN-OFF]</w:t>
      </w:r>
    </w:p>
    <w:p>
      <w:pPr>
        <w:spacing w:before="30" w:after="30" w:line="240" w:lineRule="auto"/>
        <w:jc w:val="left"/>
        <w:ind w:left="360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____________________</w:t>
      </w:r>
    </w:p>
    <w:sectPr>
      <w:headerReference xmlns:r="http://schemas.openxmlformats.org/officeDocument/2006/relationships" w:type="default" r:id="rId1"/>
      <w:footerReference xmlns:r="http://schemas.openxmlformats.org/officeDocument/2006/relationships" w:type="default" r:id="rId2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  <w:spacing w:before="60"/>
      <w:pBdr>
        <w:top w:val="single" w:sz="4" w:space="2" w:color="000000"/>
      </w:pBdr>
    </w:pPr>
    <w:r>
      <w:rPr>
        <w:rFonts w:ascii="Times New Roman" w:hAnsi="Times New Roman"/>
        <w:color w:val="000000"/>
        <w:sz w:val="18"/>
      </w:rPr>
      <w:t>Page </w:t>
    </w:r>
    <w:fldSimple w:instr="PAGE"/>
    <w:r>
      <w:rPr>
        <w:rFonts w:ascii="Times New Roman" w:hAnsi="Times New Roman"/>
        <w:color w:val="000000"/>
        <w:sz w:val="18"/>
      </w:rPr>
      <w:t> of </w:t>
    </w:r>
    <w:fldSimple w:instr="NUMPAGES"/>
    <w:r>
      <w:rPr>
        <w:rFonts w:ascii="Times New Roman" w:hAnsi="Times New Roman"/>
        <w:color w:val="000000"/>
        <w:sz w:val="18"/>
      </w:rPr>
      <w:t>  |  Taha Asadullah (24-ST-013)  |  Week 3 Architecture Specification</w:t>
    </w:r>
  </w:p>
</w:ftr>
</file>

<file path=word/header1.xml><?xml version="1.0" encoding="utf-8"?>
<w:hdr xmlns:w="http://schemas.openxmlformats.org/wordprocessingml/2006/main">
  <w:p>
    <w:pPr>
      <w:jc w:val="right"/>
      <w:spacing w:after="0"/>
      <w:pBdr>
        <w:bottom w:val="single" w:sz="4" w:space="2" w:color="000000"/>
      </w:pBdr>
    </w:pPr>
    <w:r>
      <w:rPr>
        <w:rFonts w:ascii="Times New Roman" w:hAnsi="Times New Roman"/>
        <w:color w:val="000000"/>
        <w:sz w:val="18"/>
      </w:rPr>
      <w:t>PTUT - PRJ - 089 | BugBountyTrack — High-Level Architecture &amp; Cloud Topology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cs="Times New Roman" w:eastAsia="Times New Roman" w:hAnsi="Times New Roman"/>
        <w:color w:val="000000"/>
        <w:sz w:val="22"/>
        <w:szCs w:val="22"/>
      </w:rPr>
    </w:rPrDefault>
    <w:pPrDefault>
      <w:pPr>
        <w:spacing w:before="60" w:after="8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footer" Target="footer1.xml"/>
  <Relationship Id="rId3" Type="http://schemas.openxmlformats.org/officeDocument/2006/relationships/styles" Target="styles.xml"/>
  <Relationship Id="rId4" Type="http://schemas.openxmlformats.org/officeDocument/2006/relationships/settings" Target="settings.xml"/>
  <Relationship Id="rId201" Type="http://schemas.openxmlformats.org/officeDocument/2006/relationships/image" Target="media/fig3_1_3tier_architecture.png"/>
  <Relationship Id="rId202" Type="http://schemas.openxmlformats.org/officeDocument/2006/relationships/image" Target="media/fig3_2_dfd_level_0.png"/>
  <Relationship Id="rId203" Type="http://schemas.openxmlformats.org/officeDocument/2006/relationships/image" Target="media/fig3_3_dfd_level_1.png"/>
  <Relationship Id="rId204" Type="http://schemas.openxmlformats.org/officeDocument/2006/relationships/image" Target="media/fig3_4_cloud_topology.png"/>
</Relationships>
</file>