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239D0" w14:textId="77722671" w:rsidR="009C1480" w:rsidRDefault="009C1480">
      <w:r w:rsidRPr="009C1480">
        <w:rPr>
          <w:noProof/>
        </w:rPr>
        <w:drawing>
          <wp:anchor distT="0" distB="0" distL="114300" distR="114300" simplePos="0" relativeHeight="251658240" behindDoc="1" locked="0" layoutInCell="1" allowOverlap="1" wp14:anchorId="0FD170DD" wp14:editId="528EF1A6">
            <wp:simplePos x="0" y="0"/>
            <wp:positionH relativeFrom="page">
              <wp:posOffset>-4445</wp:posOffset>
            </wp:positionH>
            <wp:positionV relativeFrom="paragraph">
              <wp:posOffset>1297115</wp:posOffset>
            </wp:positionV>
            <wp:extent cx="7773670" cy="58293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367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1480"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26E86F28" wp14:editId="25FAABBE">
                <wp:simplePos x="0" y="0"/>
                <wp:positionH relativeFrom="page">
                  <wp:posOffset>-4445</wp:posOffset>
                </wp:positionH>
                <wp:positionV relativeFrom="page">
                  <wp:posOffset>8027035</wp:posOffset>
                </wp:positionV>
                <wp:extent cx="7762875" cy="2016760"/>
                <wp:effectExtent l="0" t="0" r="9525" b="254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2875" cy="2016760"/>
                        </a:xfrm>
                        <a:prstGeom prst="rect">
                          <a:avLst/>
                        </a:prstGeom>
                        <a:solidFill>
                          <a:srgbClr val="50AF3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B96EF" w14:textId="77777777" w:rsidR="009C1480" w:rsidRPr="003822D4" w:rsidRDefault="009C1480" w:rsidP="009C1480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Calcul des émissions des gaz à effet de serre (CEGES)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86F2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.35pt;margin-top:632.05pt;width:611.25pt;height:158.8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" fillcolor="#50af31" stroked="f">
                <v:textbox>
                  <w:txbxContent>
                    <w:p w14:paraId="054B96EF" w14:textId="77777777" w:rsidR="009C1480" w:rsidRPr="003822D4" w:rsidRDefault="009C1480" w:rsidP="009C1480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Calcul des émissions des gaz à effet de serre (CEGES)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9C1480"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76D12DB2" wp14:editId="509602EA">
                <wp:simplePos x="0" y="0"/>
                <wp:positionH relativeFrom="margin">
                  <wp:posOffset>1905000</wp:posOffset>
                </wp:positionH>
                <wp:positionV relativeFrom="margin">
                  <wp:posOffset>-316865</wp:posOffset>
                </wp:positionV>
                <wp:extent cx="4733925" cy="1009650"/>
                <wp:effectExtent l="0" t="0" r="952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EC14B" w14:textId="7D9830A4" w:rsidR="009C1480" w:rsidRPr="003822D4" w:rsidRDefault="009C1480" w:rsidP="009C1480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22D4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>420-</w:t>
                            </w:r>
                            <w:r w:rsidR="00367816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>D</w:t>
                            </w:r>
                            <w:r w:rsidRPr="003822D4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>W5-EM Programmation web avancée</w:t>
                            </w:r>
                          </w:p>
                          <w:p w14:paraId="0B6A3A4F" w14:textId="77777777" w:rsidR="009C1480" w:rsidRPr="003822D4" w:rsidRDefault="009C1480" w:rsidP="009C1480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50AF31"/>
                                <w:sz w:val="72"/>
                                <w:szCs w:val="72"/>
                              </w:rPr>
                            </w:pPr>
                            <w:r w:rsidRPr="003822D4">
                              <w:rPr>
                                <w:rFonts w:ascii="Consolas" w:hAnsi="Consolas"/>
                                <w:b/>
                                <w:bCs/>
                                <w:color w:val="50AF31"/>
                                <w:sz w:val="72"/>
                                <w:szCs w:val="72"/>
                              </w:rPr>
                              <w:t>Travail pratique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12DB2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50pt;margin-top:-24.95pt;width:372.75pt;height:79.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" stroked="f">
                <v:textbox>
                  <w:txbxContent>
                    <w:p w14:paraId="5E9EC14B" w14:textId="7D9830A4" w:rsidR="009C1480" w:rsidRPr="003822D4" w:rsidRDefault="009C1480" w:rsidP="009C1480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r w:rsidRPr="003822D4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420-</w:t>
                      </w:r>
                      <w:r w:rsidR="00367816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D</w:t>
                      </w:r>
                      <w:r w:rsidRPr="003822D4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W5-EM Programmation web avancée</w:t>
                      </w:r>
                    </w:p>
                    <w:p w14:paraId="0B6A3A4F" w14:textId="77777777" w:rsidR="009C1480" w:rsidRPr="003822D4" w:rsidRDefault="009C1480" w:rsidP="009C1480">
                      <w:pPr>
                        <w:rPr>
                          <w:rFonts w:ascii="Consolas" w:hAnsi="Consolas"/>
                          <w:b/>
                          <w:bCs/>
                          <w:color w:val="50AF31"/>
                          <w:sz w:val="72"/>
                          <w:szCs w:val="72"/>
                        </w:rPr>
                      </w:pPr>
                      <w:r w:rsidRPr="003822D4">
                        <w:rPr>
                          <w:rFonts w:ascii="Consolas" w:hAnsi="Consolas"/>
                          <w:b/>
                          <w:bCs/>
                          <w:color w:val="50AF31"/>
                          <w:sz w:val="72"/>
                          <w:szCs w:val="72"/>
                        </w:rPr>
                        <w:t>Travail pratique 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9C1480">
        <w:rPr>
          <w:noProof/>
        </w:rPr>
        <w:drawing>
          <wp:anchor distT="0" distB="0" distL="114300" distR="114300" simplePos="0" relativeHeight="251658241" behindDoc="0" locked="0" layoutInCell="1" allowOverlap="1" wp14:anchorId="630A069B" wp14:editId="7139BF46">
            <wp:simplePos x="0" y="0"/>
            <wp:positionH relativeFrom="margin">
              <wp:posOffset>-567055</wp:posOffset>
            </wp:positionH>
            <wp:positionV relativeFrom="margin">
              <wp:posOffset>-676910</wp:posOffset>
            </wp:positionV>
            <wp:extent cx="2295525" cy="1762125"/>
            <wp:effectExtent l="0" t="0" r="9525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</w:p>
    <w:p w14:paraId="5DA0BB2E" w14:textId="77777777" w:rsidR="009C1480" w:rsidRDefault="009C1480">
      <w:r>
        <w:br w:type="page"/>
      </w:r>
    </w:p>
    <w:p w14:paraId="65BA2E80" w14:textId="04E61B99" w:rsidR="00730709" w:rsidRDefault="005E2B91" w:rsidP="005E2B91">
      <w:pPr>
        <w:pStyle w:val="Titre1"/>
      </w:pPr>
      <w:r>
        <w:lastRenderedPageBreak/>
        <w:t>Présentation du projet</w:t>
      </w:r>
    </w:p>
    <w:p w14:paraId="0ABD7B13" w14:textId="556B5B6E" w:rsidR="005E2B91" w:rsidRDefault="00133B46" w:rsidP="00D76653">
      <w:r>
        <w:t>Les émissions des gaz à effet de serre sont de plus en plus surveillées à travers le monde</w:t>
      </w:r>
      <w:r w:rsidR="00BE7875">
        <w:t xml:space="preserve"> : </w:t>
      </w:r>
      <w:r w:rsidR="00BF056C">
        <w:t>de nombreuses</w:t>
      </w:r>
      <w:r w:rsidR="00BE7875">
        <w:t xml:space="preserve"> juridictions imposent aux entreprises </w:t>
      </w:r>
      <w:r w:rsidR="00AA7B32">
        <w:t>de calculer leurs émissions de gaz à effet de serre afin d’en faire le suivi à travers le temps.</w:t>
      </w:r>
    </w:p>
    <w:p w14:paraId="7F8FE715" w14:textId="577E87A6" w:rsidR="00AA7B32" w:rsidRPr="003C26C5" w:rsidRDefault="00AA7B32" w:rsidP="005E2B91">
      <w:pPr>
        <w:rPr>
          <w:b/>
          <w:bCs/>
        </w:rPr>
      </w:pPr>
      <w:r w:rsidRPr="003C26C5">
        <w:rPr>
          <w:b/>
          <w:bCs/>
        </w:rPr>
        <w:t xml:space="preserve">Nous souhaitons profiter </w:t>
      </w:r>
      <w:r w:rsidR="00E54EF0" w:rsidRPr="003C26C5">
        <w:rPr>
          <w:b/>
          <w:bCs/>
        </w:rPr>
        <w:t xml:space="preserve">de cette situation pour développer une application qui permettra aux entreprises </w:t>
      </w:r>
      <w:r w:rsidR="00ED0633" w:rsidRPr="003C26C5">
        <w:rPr>
          <w:b/>
          <w:bCs/>
        </w:rPr>
        <w:t xml:space="preserve">de </w:t>
      </w:r>
      <w:r w:rsidR="0016037E" w:rsidRPr="003C26C5">
        <w:rPr>
          <w:b/>
          <w:bCs/>
        </w:rPr>
        <w:t xml:space="preserve">modéliser </w:t>
      </w:r>
      <w:r w:rsidR="00850520" w:rsidRPr="003C26C5">
        <w:rPr>
          <w:b/>
          <w:bCs/>
        </w:rPr>
        <w:t>leurs différentes sources d’émission pour ensuite en faire le suivi et calculer leurs émissions totales.</w:t>
      </w:r>
    </w:p>
    <w:p w14:paraId="2C26BF4D" w14:textId="1EB71AC3" w:rsidR="00850520" w:rsidRDefault="00850520" w:rsidP="00850520">
      <w:pPr>
        <w:pStyle w:val="Titre2"/>
      </w:pPr>
      <w:r>
        <w:t>Les besoins</w:t>
      </w:r>
    </w:p>
    <w:p w14:paraId="2FFF2B89" w14:textId="77777777" w:rsidR="003C26C5" w:rsidRDefault="00850520" w:rsidP="005E2B91">
      <w:r>
        <w:t xml:space="preserve">Les entreprises </w:t>
      </w:r>
      <w:r w:rsidR="00CF3849">
        <w:t>faisant appel à nos services sont variées : l’application doit donc être flexible pour permettre de modéliser autant une mine, une manufacture ou une compagnie de transport.</w:t>
      </w:r>
      <w:r w:rsidR="002979E2">
        <w:t xml:space="preserve"> </w:t>
      </w:r>
    </w:p>
    <w:p w14:paraId="0CF9A971" w14:textId="5404525B" w:rsidR="003C26C5" w:rsidRDefault="003C26C5" w:rsidP="005E2B91">
      <w:r>
        <w:t xml:space="preserve">Les entreprises à modéliser sont souvent complexes. Il sera donc utile de </w:t>
      </w:r>
      <w:r w:rsidR="007B6D7E">
        <w:t>rassembler</w:t>
      </w:r>
      <w:r>
        <w:t xml:space="preserve"> leurs équipements dans des groupes. </w:t>
      </w:r>
      <w:r w:rsidR="00B47955">
        <w:t xml:space="preserve">Les entreprises pourront donc créer des groupes, y placer des équipements et configurer chaque équipement afin d'indiquer comment calculer </w:t>
      </w:r>
      <w:r w:rsidR="007B6D7E">
        <w:t>ses</w:t>
      </w:r>
      <w:r w:rsidR="00B47955">
        <w:t xml:space="preserve"> émissions.</w:t>
      </w:r>
    </w:p>
    <w:p w14:paraId="718A69DA" w14:textId="66924497" w:rsidR="00850520" w:rsidRDefault="002979E2" w:rsidP="005E2B91">
      <w:r>
        <w:t xml:space="preserve">Une fois les équipements configurés, l’application doit permettre </w:t>
      </w:r>
      <w:r w:rsidR="00FE41DD">
        <w:t>d’inscrire</w:t>
      </w:r>
      <w:r>
        <w:t xml:space="preserve"> les informations permettant de calculer les émissions mensuelles de l’entreprise.</w:t>
      </w:r>
    </w:p>
    <w:p w14:paraId="2D27C88A" w14:textId="4223A840" w:rsidR="00DE36F4" w:rsidRDefault="00DE36F4" w:rsidP="00DE36F4">
      <w:pPr>
        <w:pStyle w:val="Titre3"/>
      </w:pPr>
      <w:r>
        <w:t>Configuration des équipements</w:t>
      </w:r>
    </w:p>
    <w:p w14:paraId="65F57746" w14:textId="03C93E3D" w:rsidR="00A52145" w:rsidRDefault="00A52145" w:rsidP="005E2B91">
      <w:r>
        <w:t xml:space="preserve">Pour ce faire, </w:t>
      </w:r>
      <w:r w:rsidR="00EB362B">
        <w:t>l’ingénieur doit configurer</w:t>
      </w:r>
      <w:r>
        <w:t xml:space="preserve"> les équipements qui sont à l’origine des émissions. Ces équipements </w:t>
      </w:r>
      <w:r w:rsidR="00351BEE">
        <w:t>devront</w:t>
      </w:r>
      <w:r>
        <w:t xml:space="preserve"> être </w:t>
      </w:r>
      <w:r w:rsidR="00F011BC">
        <w:t xml:space="preserve">rassemblées en groupes pour représenter les différents emplacements ou les divisions </w:t>
      </w:r>
      <w:r w:rsidR="00351BEE">
        <w:t xml:space="preserve">logiques </w:t>
      </w:r>
      <w:r w:rsidR="00F011BC">
        <w:t>de l’entreprise.</w:t>
      </w:r>
    </w:p>
    <w:p w14:paraId="02919EFC" w14:textId="447E0CE1" w:rsidR="00F011BC" w:rsidRDefault="00F011BC" w:rsidP="005E2B91">
      <w:r>
        <w:t xml:space="preserve">Les équipements </w:t>
      </w:r>
      <w:r w:rsidR="00EB362B">
        <w:t>peuvent</w:t>
      </w:r>
      <w:r w:rsidR="005D1B71">
        <w:t xml:space="preserve"> être configurés en fonction de leurs émissions</w:t>
      </w:r>
      <w:r w:rsidR="00DE744F">
        <w:t xml:space="preserve"> selon trois méthodes différentes </w:t>
      </w:r>
      <w:r>
        <w:t>:</w:t>
      </w:r>
    </w:p>
    <w:p w14:paraId="06ADFE30" w14:textId="360752B8" w:rsidR="00351BEE" w:rsidRPr="00351BEE" w:rsidRDefault="00F011BC" w:rsidP="00351BEE">
      <w:pPr>
        <w:pStyle w:val="Paragraphedeliste"/>
        <w:numPr>
          <w:ilvl w:val="0"/>
          <w:numId w:val="1"/>
        </w:numPr>
        <w:rPr>
          <w:b/>
          <w:bCs/>
        </w:rPr>
      </w:pPr>
      <w:r w:rsidRPr="00351BEE">
        <w:rPr>
          <w:b/>
          <w:bCs/>
        </w:rPr>
        <w:t xml:space="preserve">Certains équipements </w:t>
      </w:r>
      <w:r w:rsidR="00940F72" w:rsidRPr="00351BEE">
        <w:rPr>
          <w:b/>
          <w:bCs/>
        </w:rPr>
        <w:t xml:space="preserve">ont des émissions </w:t>
      </w:r>
      <w:r w:rsidR="00940F72" w:rsidRPr="00351BEE">
        <w:rPr>
          <w:b/>
          <w:bCs/>
          <w:i/>
          <w:iCs/>
        </w:rPr>
        <w:t>constantes</w:t>
      </w:r>
      <w:r w:rsidR="00940F72" w:rsidRPr="00351BEE">
        <w:rPr>
          <w:b/>
          <w:bCs/>
        </w:rPr>
        <w:t xml:space="preserve"> peu importe leur utilisation. </w:t>
      </w:r>
    </w:p>
    <w:p w14:paraId="0275EB89" w14:textId="71012401" w:rsidR="00F011BC" w:rsidRPr="00351BEE" w:rsidRDefault="007A12A6" w:rsidP="005034FD">
      <w:pPr>
        <w:pStyle w:val="Paragraphedeliste"/>
        <w:contextualSpacing w:val="0"/>
      </w:pPr>
      <w:r>
        <w:t>U</w:t>
      </w:r>
      <w:r w:rsidR="00940F72" w:rsidRPr="00351BEE">
        <w:t xml:space="preserve">n bureau administratif </w:t>
      </w:r>
      <w:r w:rsidR="00E21DA7" w:rsidRPr="00351BEE">
        <w:t xml:space="preserve">ou un système d’éclairage </w:t>
      </w:r>
      <w:r w:rsidR="00940F72" w:rsidRPr="00351BEE">
        <w:t xml:space="preserve">utilisera toujours la même quantité d’énergie </w:t>
      </w:r>
      <w:r w:rsidR="00E21DA7" w:rsidRPr="00351BEE">
        <w:t>par jour ou par mois.</w:t>
      </w:r>
    </w:p>
    <w:p w14:paraId="3C64CAA1" w14:textId="54D42741" w:rsidR="005034FD" w:rsidRPr="00351BEE" w:rsidRDefault="00AC38C1" w:rsidP="00351BEE">
      <w:pPr>
        <w:pStyle w:val="Paragraphedeliste"/>
        <w:numPr>
          <w:ilvl w:val="0"/>
          <w:numId w:val="1"/>
        </w:numPr>
        <w:rPr>
          <w:b/>
          <w:bCs/>
        </w:rPr>
      </w:pPr>
      <w:r w:rsidRPr="00351BEE">
        <w:rPr>
          <w:b/>
          <w:bCs/>
        </w:rPr>
        <w:t>D’autres</w:t>
      </w:r>
      <w:r w:rsidR="00E21DA7" w:rsidRPr="00351BEE">
        <w:rPr>
          <w:b/>
          <w:bCs/>
        </w:rPr>
        <w:t xml:space="preserve"> équipements ont des émissions linéaires</w:t>
      </w:r>
      <w:r w:rsidR="005034FD" w:rsidRPr="00351BEE">
        <w:rPr>
          <w:b/>
          <w:bCs/>
        </w:rPr>
        <w:t xml:space="preserve"> qui sont directement proportionnelles à leur utilisation.</w:t>
      </w:r>
    </w:p>
    <w:p w14:paraId="5E9982F6" w14:textId="641AFE32" w:rsidR="00E21DA7" w:rsidRDefault="007A12A6" w:rsidP="005034FD">
      <w:pPr>
        <w:pStyle w:val="Paragraphedeliste"/>
        <w:contextualSpacing w:val="0"/>
      </w:pPr>
      <w:r>
        <w:t>U</w:t>
      </w:r>
      <w:r w:rsidR="000A6790">
        <w:t>n camion produira toujours la même quantité d’émissions par kilomètre parcouru.</w:t>
      </w:r>
    </w:p>
    <w:p w14:paraId="2533DE9C" w14:textId="5DDFA82A" w:rsidR="00AC38C1" w:rsidRPr="00351BEE" w:rsidRDefault="00AC38C1" w:rsidP="00AC38C1">
      <w:pPr>
        <w:pStyle w:val="Paragraphedeliste"/>
        <w:numPr>
          <w:ilvl w:val="0"/>
          <w:numId w:val="1"/>
        </w:numPr>
        <w:rPr>
          <w:b/>
          <w:bCs/>
        </w:rPr>
      </w:pPr>
      <w:r w:rsidRPr="00351BEE">
        <w:rPr>
          <w:b/>
          <w:bCs/>
        </w:rPr>
        <w:t xml:space="preserve">Finalement, plusieurs équipements ont aussi des émissions </w:t>
      </w:r>
      <w:r w:rsidR="00351BEE">
        <w:rPr>
          <w:b/>
          <w:bCs/>
        </w:rPr>
        <w:t>relatives</w:t>
      </w:r>
      <w:r w:rsidR="001F1A99" w:rsidRPr="00351BEE">
        <w:rPr>
          <w:b/>
          <w:bCs/>
        </w:rPr>
        <w:t xml:space="preserve"> à l’intensité de leur utilisation.</w:t>
      </w:r>
    </w:p>
    <w:p w14:paraId="4352AD49" w14:textId="3E0ACF52" w:rsidR="001F1A99" w:rsidRDefault="007A12A6" w:rsidP="001F1A99">
      <w:pPr>
        <w:pStyle w:val="Paragraphedeliste"/>
      </w:pPr>
      <w:r>
        <w:t>U</w:t>
      </w:r>
      <w:r w:rsidR="001F1A99">
        <w:t>ne aluminerie</w:t>
      </w:r>
      <w:r w:rsidR="008D77FA">
        <w:t xml:space="preserve"> produira toujours une certaine quantité d’émissions </w:t>
      </w:r>
      <w:r w:rsidR="00487887">
        <w:t>même sans être utilisée</w:t>
      </w:r>
      <w:r w:rsidR="009E3F77">
        <w:t xml:space="preserve"> (à 0% d’intensité)</w:t>
      </w:r>
      <w:r w:rsidR="00487887">
        <w:t xml:space="preserve">, et les émissions augmenteront ensuite </w:t>
      </w:r>
      <w:r w:rsidR="009E3F77">
        <w:t>proportionnellement jusqu’à l’utilisation maximum de l’aluminerie (à 100% d’intensité).</w:t>
      </w:r>
    </w:p>
    <w:p w14:paraId="60AA5EC9" w14:textId="5A1C37F2" w:rsidR="00DE36F4" w:rsidRDefault="00DE36F4" w:rsidP="00664AA1">
      <w:pPr>
        <w:pStyle w:val="Titre3"/>
        <w:pageBreakBefore/>
      </w:pPr>
      <w:r>
        <w:lastRenderedPageBreak/>
        <w:t>Calcul des émissions</w:t>
      </w:r>
    </w:p>
    <w:p w14:paraId="3DCB9AA0" w14:textId="053A539C" w:rsidR="009E3F77" w:rsidRDefault="00DE744F" w:rsidP="009E3F77">
      <w:r>
        <w:t xml:space="preserve">L’application doit permettre de calculer les émissions pour </w:t>
      </w:r>
      <w:r w:rsidR="00664AA1">
        <w:t>des</w:t>
      </w:r>
      <w:r>
        <w:t xml:space="preserve"> période</w:t>
      </w:r>
      <w:r w:rsidR="00664AA1">
        <w:t>s</w:t>
      </w:r>
      <w:r>
        <w:t xml:space="preserve"> d’un mois. </w:t>
      </w:r>
      <w:r w:rsidR="00664AA1">
        <w:t>L’analyste</w:t>
      </w:r>
      <w:r>
        <w:t xml:space="preserve"> doit choisir </w:t>
      </w:r>
      <w:r w:rsidR="0029384A">
        <w:t xml:space="preserve">un mois </w:t>
      </w:r>
      <w:r w:rsidR="00DE36F4">
        <w:t xml:space="preserve">spécifique </w:t>
      </w:r>
      <w:r w:rsidR="0029384A">
        <w:t xml:space="preserve">et indiquer pour chaque équipement </w:t>
      </w:r>
      <w:r w:rsidR="00664AA1">
        <w:t xml:space="preserve">de l’entreprise </w:t>
      </w:r>
      <w:r w:rsidR="0029384A">
        <w:t xml:space="preserve">les </w:t>
      </w:r>
      <w:r w:rsidR="00396AD7">
        <w:t>mesures</w:t>
      </w:r>
      <w:r w:rsidR="00791832">
        <w:t xml:space="preserve"> </w:t>
      </w:r>
      <w:r w:rsidR="0029384A">
        <w:t xml:space="preserve">permettant </w:t>
      </w:r>
      <w:r w:rsidR="00AF6214">
        <w:t xml:space="preserve">d’en </w:t>
      </w:r>
      <w:r w:rsidR="0029384A">
        <w:t xml:space="preserve">calculer les </w:t>
      </w:r>
      <w:r w:rsidR="00DE36F4">
        <w:t xml:space="preserve">émissions pour ce mois. L’application doit enregistrer </w:t>
      </w:r>
      <w:r w:rsidR="00396AD7">
        <w:t>c</w:t>
      </w:r>
      <w:r w:rsidR="00DE36F4">
        <w:t xml:space="preserve">es </w:t>
      </w:r>
      <w:r w:rsidR="00791832">
        <w:t>mesures</w:t>
      </w:r>
      <w:r w:rsidR="00396AD7">
        <w:t xml:space="preserve"> et les utiliser pour</w:t>
      </w:r>
      <w:r w:rsidR="00DE36F4">
        <w:t xml:space="preserve"> calculer </w:t>
      </w:r>
      <w:r w:rsidR="009F260C">
        <w:t xml:space="preserve">les émissions de chaque équipement et </w:t>
      </w:r>
      <w:r w:rsidR="00DE36F4">
        <w:t>la somme totale des émissions de l’entreprise pour ce mois en particulier.</w:t>
      </w:r>
    </w:p>
    <w:p w14:paraId="10C43AE2" w14:textId="5883D507" w:rsidR="00250D4B" w:rsidRDefault="00250D4B" w:rsidP="009E3F77">
      <w:r>
        <w:t>Voici les informations qui devront être spécifiées pour chaque type d’équipement :</w:t>
      </w:r>
    </w:p>
    <w:tbl>
      <w:tblPr>
        <w:tblStyle w:val="TableauGrille5Fonc-Accentuation1"/>
        <w:tblW w:w="9501" w:type="dxa"/>
        <w:tblLook w:val="04A0" w:firstRow="1" w:lastRow="0" w:firstColumn="1" w:lastColumn="0" w:noHBand="0" w:noVBand="1"/>
      </w:tblPr>
      <w:tblGrid>
        <w:gridCol w:w="1879"/>
        <w:gridCol w:w="1879"/>
        <w:gridCol w:w="4034"/>
        <w:gridCol w:w="1709"/>
      </w:tblGrid>
      <w:tr w:rsidR="00D00A52" w:rsidRPr="00E45DE8" w14:paraId="160476A8" w14:textId="77777777" w:rsidTr="00664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vAlign w:val="center"/>
          </w:tcPr>
          <w:p w14:paraId="46DAE4B6" w14:textId="259F8924" w:rsidR="00D00A52" w:rsidRPr="00E45DE8" w:rsidRDefault="00D00A52" w:rsidP="00664D9C">
            <w:pPr>
              <w:jc w:val="center"/>
              <w:rPr>
                <w:sz w:val="20"/>
                <w:szCs w:val="20"/>
              </w:rPr>
            </w:pPr>
            <w:r w:rsidRPr="00E45DE8">
              <w:rPr>
                <w:sz w:val="20"/>
                <w:szCs w:val="20"/>
              </w:rPr>
              <w:t>Type d’équipement</w:t>
            </w:r>
          </w:p>
        </w:tc>
        <w:tc>
          <w:tcPr>
            <w:tcW w:w="1879" w:type="dxa"/>
            <w:vAlign w:val="center"/>
          </w:tcPr>
          <w:p w14:paraId="5684F96D" w14:textId="5C6C8BD4" w:rsidR="00D00A52" w:rsidRPr="00E45DE8" w:rsidRDefault="00D00A52" w:rsidP="00664D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5DE8">
              <w:rPr>
                <w:sz w:val="20"/>
                <w:szCs w:val="20"/>
              </w:rPr>
              <w:t>Informations requises</w:t>
            </w:r>
          </w:p>
        </w:tc>
        <w:tc>
          <w:tcPr>
            <w:tcW w:w="4034" w:type="dxa"/>
            <w:vAlign w:val="center"/>
          </w:tcPr>
          <w:p w14:paraId="4661A63C" w14:textId="537805E1" w:rsidR="00D00A52" w:rsidRPr="00E45DE8" w:rsidRDefault="00D00A52" w:rsidP="00664D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5DE8">
              <w:rPr>
                <w:sz w:val="20"/>
                <w:szCs w:val="20"/>
              </w:rPr>
              <w:t>Description</w:t>
            </w:r>
          </w:p>
        </w:tc>
        <w:tc>
          <w:tcPr>
            <w:tcW w:w="1709" w:type="dxa"/>
            <w:vAlign w:val="center"/>
          </w:tcPr>
          <w:p w14:paraId="2B332B42" w14:textId="5858D263" w:rsidR="00D00A52" w:rsidRPr="00E45DE8" w:rsidRDefault="007F4203" w:rsidP="00664D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Mesure ou valeurs</w:t>
            </w:r>
          </w:p>
        </w:tc>
      </w:tr>
      <w:tr w:rsidR="004958DA" w:rsidRPr="00E45DE8" w14:paraId="36D94AD9" w14:textId="77777777" w:rsidTr="00664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vAlign w:val="center"/>
          </w:tcPr>
          <w:p w14:paraId="4448CEFE" w14:textId="7870E889" w:rsidR="004958DA" w:rsidRPr="00E45DE8" w:rsidRDefault="004958DA" w:rsidP="00664D9C">
            <w:pPr>
              <w:jc w:val="left"/>
              <w:rPr>
                <w:sz w:val="20"/>
                <w:szCs w:val="20"/>
              </w:rPr>
            </w:pPr>
            <w:r w:rsidRPr="00E45DE8">
              <w:rPr>
                <w:sz w:val="20"/>
                <w:szCs w:val="20"/>
              </w:rPr>
              <w:t>Émissions constantes</w:t>
            </w:r>
          </w:p>
        </w:tc>
        <w:tc>
          <w:tcPr>
            <w:tcW w:w="1879" w:type="dxa"/>
            <w:vAlign w:val="center"/>
          </w:tcPr>
          <w:p w14:paraId="3839B673" w14:textId="5D2961D6" w:rsidR="004958DA" w:rsidRPr="00E45DE8" w:rsidRDefault="004958DA" w:rsidP="00664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5DE8">
              <w:rPr>
                <w:sz w:val="18"/>
                <w:szCs w:val="18"/>
              </w:rPr>
              <w:t>Quantité</w:t>
            </w:r>
          </w:p>
        </w:tc>
        <w:tc>
          <w:tcPr>
            <w:tcW w:w="4034" w:type="dxa"/>
            <w:vAlign w:val="center"/>
          </w:tcPr>
          <w:p w14:paraId="19191AE5" w14:textId="20935212" w:rsidR="004958DA" w:rsidRPr="00E45DE8" w:rsidRDefault="004958DA" w:rsidP="00664D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5DE8">
              <w:rPr>
                <w:sz w:val="18"/>
                <w:szCs w:val="18"/>
              </w:rPr>
              <w:t>La quantité d’émission de l’équipement durant la période</w:t>
            </w:r>
            <w:r>
              <w:rPr>
                <w:sz w:val="18"/>
                <w:szCs w:val="18"/>
              </w:rPr>
              <w:t xml:space="preserve"> choisie</w:t>
            </w:r>
          </w:p>
        </w:tc>
        <w:tc>
          <w:tcPr>
            <w:tcW w:w="1709" w:type="dxa"/>
            <w:vAlign w:val="center"/>
          </w:tcPr>
          <w:p w14:paraId="732970BF" w14:textId="542BD49C" w:rsidR="004958DA" w:rsidRPr="00E45DE8" w:rsidRDefault="006A4886" w:rsidP="00664D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4958DA" w:rsidRPr="00E45DE8">
              <w:rPr>
                <w:sz w:val="18"/>
                <w:szCs w:val="18"/>
              </w:rPr>
              <w:t xml:space="preserve">onnes de GES </w:t>
            </w:r>
            <w:r w:rsidR="004958DA">
              <w:rPr>
                <w:sz w:val="18"/>
                <w:szCs w:val="18"/>
              </w:rPr>
              <w:t xml:space="preserve">par jour </w:t>
            </w:r>
            <w:r w:rsidR="004958DA" w:rsidRPr="00E45DE8">
              <w:rPr>
                <w:sz w:val="18"/>
                <w:szCs w:val="18"/>
              </w:rPr>
              <w:t>(t</w:t>
            </w:r>
            <w:r w:rsidR="004958DA">
              <w:rPr>
                <w:sz w:val="18"/>
                <w:szCs w:val="18"/>
              </w:rPr>
              <w:t>/jour</w:t>
            </w:r>
            <w:r w:rsidR="004958DA" w:rsidRPr="00E45DE8">
              <w:rPr>
                <w:sz w:val="18"/>
                <w:szCs w:val="18"/>
              </w:rPr>
              <w:t>)</w:t>
            </w:r>
          </w:p>
        </w:tc>
      </w:tr>
      <w:tr w:rsidR="00F14FC3" w:rsidRPr="00E45DE8" w14:paraId="441B8418" w14:textId="77777777" w:rsidTr="00664D9C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vMerge w:val="restart"/>
            <w:vAlign w:val="center"/>
          </w:tcPr>
          <w:p w14:paraId="491944CB" w14:textId="3CDF9814" w:rsidR="00F14FC3" w:rsidRPr="00E45DE8" w:rsidRDefault="00F14FC3" w:rsidP="00664D9C">
            <w:pPr>
              <w:jc w:val="left"/>
              <w:rPr>
                <w:sz w:val="20"/>
                <w:szCs w:val="20"/>
              </w:rPr>
            </w:pPr>
            <w:r w:rsidRPr="00E45DE8">
              <w:rPr>
                <w:sz w:val="20"/>
                <w:szCs w:val="20"/>
              </w:rPr>
              <w:t>Émissions linéaires</w:t>
            </w:r>
          </w:p>
        </w:tc>
        <w:tc>
          <w:tcPr>
            <w:tcW w:w="1879" w:type="dxa"/>
            <w:vAlign w:val="center"/>
          </w:tcPr>
          <w:p w14:paraId="6970F10B" w14:textId="44F80D57" w:rsidR="00F14FC3" w:rsidRPr="00E45DE8" w:rsidRDefault="006075B9" w:rsidP="00664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Unité de mesure</w:t>
            </w:r>
          </w:p>
        </w:tc>
        <w:tc>
          <w:tcPr>
            <w:tcW w:w="4034" w:type="dxa"/>
            <w:vAlign w:val="center"/>
          </w:tcPr>
          <w:p w14:paraId="2CDC0FE9" w14:textId="3113BD73" w:rsidR="00F14FC3" w:rsidRPr="00E45DE8" w:rsidRDefault="006075B9" w:rsidP="00664D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L’unité de mesure </w:t>
            </w:r>
            <w:r w:rsidR="0097291E">
              <w:rPr>
                <w:sz w:val="18"/>
                <w:szCs w:val="18"/>
              </w:rPr>
              <w:t xml:space="preserve">utilisée pour </w:t>
            </w:r>
            <w:r w:rsidR="00EB1317">
              <w:rPr>
                <w:sz w:val="18"/>
                <w:szCs w:val="18"/>
              </w:rPr>
              <w:t>calculer les émissions</w:t>
            </w:r>
          </w:p>
        </w:tc>
        <w:tc>
          <w:tcPr>
            <w:tcW w:w="1709" w:type="dxa"/>
            <w:vAlign w:val="center"/>
          </w:tcPr>
          <w:p w14:paraId="115B1A1D" w14:textId="4366A07E" w:rsidR="00F14FC3" w:rsidRPr="00E45DE8" w:rsidRDefault="007F4203" w:rsidP="00664D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Texte</w:t>
            </w:r>
          </w:p>
        </w:tc>
      </w:tr>
      <w:tr w:rsidR="00F14FC3" w:rsidRPr="00E45DE8" w14:paraId="0359CEDB" w14:textId="77777777" w:rsidTr="00664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vMerge/>
            <w:vAlign w:val="center"/>
          </w:tcPr>
          <w:p w14:paraId="1C09CDE1" w14:textId="77777777" w:rsidR="00F14FC3" w:rsidRPr="00E45DE8" w:rsidRDefault="00F14FC3" w:rsidP="00664D9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879" w:type="dxa"/>
            <w:vAlign w:val="center"/>
          </w:tcPr>
          <w:p w14:paraId="3F2C040F" w14:textId="45F3E40D" w:rsidR="00F14FC3" w:rsidRPr="00E45DE8" w:rsidRDefault="006075B9" w:rsidP="00664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Facteur de conversion</w:t>
            </w:r>
          </w:p>
        </w:tc>
        <w:tc>
          <w:tcPr>
            <w:tcW w:w="4034" w:type="dxa"/>
            <w:vAlign w:val="center"/>
          </w:tcPr>
          <w:p w14:paraId="16A48CB1" w14:textId="01C29549" w:rsidR="00F14FC3" w:rsidRPr="00E45DE8" w:rsidRDefault="00EB1317" w:rsidP="00664D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facteur de conversion utilisé pour transformer la mesure brute de l’équipement en émissions de gaz à effet de serre.</w:t>
            </w:r>
          </w:p>
        </w:tc>
        <w:tc>
          <w:tcPr>
            <w:tcW w:w="1709" w:type="dxa"/>
            <w:vAlign w:val="center"/>
          </w:tcPr>
          <w:p w14:paraId="41B62297" w14:textId="1F3D65EE" w:rsidR="00F14FC3" w:rsidRPr="00E45DE8" w:rsidRDefault="007F4203" w:rsidP="00664D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Nombre</w:t>
            </w:r>
          </w:p>
        </w:tc>
      </w:tr>
      <w:tr w:rsidR="00D02BF3" w:rsidRPr="00E45DE8" w14:paraId="177BAB92" w14:textId="77777777" w:rsidTr="00664D9C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vMerge w:val="restart"/>
            <w:vAlign w:val="center"/>
          </w:tcPr>
          <w:p w14:paraId="6EA7619C" w14:textId="580467D7" w:rsidR="00D02BF3" w:rsidRPr="00E45DE8" w:rsidRDefault="00D02BF3" w:rsidP="00664D9C">
            <w:pPr>
              <w:jc w:val="left"/>
              <w:rPr>
                <w:sz w:val="20"/>
                <w:szCs w:val="20"/>
              </w:rPr>
            </w:pPr>
            <w:r w:rsidRPr="00E45DE8">
              <w:rPr>
                <w:sz w:val="20"/>
                <w:szCs w:val="20"/>
              </w:rPr>
              <w:t xml:space="preserve">Émissions </w:t>
            </w:r>
            <w:r w:rsidR="00D6454B">
              <w:rPr>
                <w:sz w:val="20"/>
                <w:szCs w:val="20"/>
              </w:rPr>
              <w:t>relative</w:t>
            </w:r>
            <w:r w:rsidR="001C4417">
              <w:rPr>
                <w:sz w:val="20"/>
                <w:szCs w:val="20"/>
              </w:rPr>
              <w:t>s</w:t>
            </w:r>
          </w:p>
        </w:tc>
        <w:tc>
          <w:tcPr>
            <w:tcW w:w="1879" w:type="dxa"/>
            <w:vAlign w:val="center"/>
          </w:tcPr>
          <w:p w14:paraId="26589629" w14:textId="6E2CE421" w:rsidR="00D02BF3" w:rsidRPr="00E45DE8" w:rsidRDefault="00D02BF3" w:rsidP="00664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Intensité zéro</w:t>
            </w:r>
          </w:p>
        </w:tc>
        <w:tc>
          <w:tcPr>
            <w:tcW w:w="4034" w:type="dxa"/>
            <w:vAlign w:val="center"/>
          </w:tcPr>
          <w:p w14:paraId="2F85595E" w14:textId="78149FFE" w:rsidR="00D02BF3" w:rsidRPr="00E45DE8" w:rsidRDefault="00D02BF3" w:rsidP="00664D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Émissions de l’équipement à une intensité nulle (0%)</w:t>
            </w:r>
          </w:p>
        </w:tc>
        <w:tc>
          <w:tcPr>
            <w:tcW w:w="1709" w:type="dxa"/>
            <w:vAlign w:val="center"/>
          </w:tcPr>
          <w:p w14:paraId="29C24703" w14:textId="4050B503" w:rsidR="00D02BF3" w:rsidRPr="00E45DE8" w:rsidRDefault="006A4886" w:rsidP="00664D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8A3188" w:rsidRPr="00E45DE8">
              <w:rPr>
                <w:sz w:val="18"/>
                <w:szCs w:val="18"/>
              </w:rPr>
              <w:t>onnes de GES</w:t>
            </w:r>
            <w:r>
              <w:rPr>
                <w:sz w:val="18"/>
                <w:szCs w:val="18"/>
              </w:rPr>
              <w:t xml:space="preserve"> par jour</w:t>
            </w:r>
            <w:r w:rsidR="008A3188" w:rsidRPr="00E45DE8">
              <w:rPr>
                <w:sz w:val="18"/>
                <w:szCs w:val="18"/>
              </w:rPr>
              <w:t xml:space="preserve"> (t)</w:t>
            </w:r>
          </w:p>
        </w:tc>
      </w:tr>
      <w:tr w:rsidR="004958DA" w:rsidRPr="00E45DE8" w14:paraId="07D3207F" w14:textId="77777777" w:rsidTr="00664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vMerge/>
          </w:tcPr>
          <w:p w14:paraId="44F23D7F" w14:textId="77777777" w:rsidR="004958DA" w:rsidRPr="00E45DE8" w:rsidRDefault="004958DA" w:rsidP="009E3F77">
            <w:pPr>
              <w:rPr>
                <w:sz w:val="20"/>
                <w:szCs w:val="20"/>
              </w:rPr>
            </w:pPr>
          </w:p>
        </w:tc>
        <w:tc>
          <w:tcPr>
            <w:tcW w:w="1879" w:type="dxa"/>
            <w:vAlign w:val="center"/>
          </w:tcPr>
          <w:p w14:paraId="1C2E1611" w14:textId="04D7BE22" w:rsidR="004958DA" w:rsidRDefault="004958DA" w:rsidP="00664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Intensité maximale</w:t>
            </w:r>
          </w:p>
        </w:tc>
        <w:tc>
          <w:tcPr>
            <w:tcW w:w="4034" w:type="dxa"/>
            <w:vAlign w:val="center"/>
          </w:tcPr>
          <w:p w14:paraId="2F11575A" w14:textId="2203E455" w:rsidR="004958DA" w:rsidRDefault="004958DA" w:rsidP="00664D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Émissions de l’équipement à une intensité maximale (100%)</w:t>
            </w:r>
          </w:p>
        </w:tc>
        <w:tc>
          <w:tcPr>
            <w:tcW w:w="1709" w:type="dxa"/>
            <w:vAlign w:val="center"/>
          </w:tcPr>
          <w:p w14:paraId="4750F4FB" w14:textId="15B1A399" w:rsidR="004958DA" w:rsidRPr="00E45DE8" w:rsidRDefault="006A4886" w:rsidP="00664D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4958DA" w:rsidRPr="00E45DE8">
              <w:rPr>
                <w:sz w:val="18"/>
                <w:szCs w:val="18"/>
              </w:rPr>
              <w:t xml:space="preserve">onnes de GES </w:t>
            </w:r>
            <w:r>
              <w:rPr>
                <w:sz w:val="18"/>
                <w:szCs w:val="18"/>
              </w:rPr>
              <w:t xml:space="preserve">par jour </w:t>
            </w:r>
            <w:r w:rsidR="004958DA" w:rsidRPr="00E45DE8">
              <w:rPr>
                <w:sz w:val="18"/>
                <w:szCs w:val="18"/>
              </w:rPr>
              <w:t>(t)</w:t>
            </w:r>
          </w:p>
        </w:tc>
      </w:tr>
    </w:tbl>
    <w:p w14:paraId="549043B6" w14:textId="77777777" w:rsidR="00250D4B" w:rsidRDefault="00250D4B" w:rsidP="009E3F77"/>
    <w:p w14:paraId="6E00D342" w14:textId="21FC4F23" w:rsidR="000A6790" w:rsidRDefault="00D00A52" w:rsidP="00296AE7">
      <w:pPr>
        <w:pStyle w:val="Titre2"/>
        <w:jc w:val="center"/>
      </w:pPr>
      <w:r>
        <w:t>Exemples</w:t>
      </w:r>
    </w:p>
    <w:p w14:paraId="6774B479" w14:textId="24E122B1" w:rsidR="008A3188" w:rsidRPr="00D76653" w:rsidRDefault="008A3188" w:rsidP="00296AE7">
      <w:pPr>
        <w:pStyle w:val="Titre3"/>
        <w:jc w:val="center"/>
      </w:pPr>
      <w:r w:rsidRPr="00D76653">
        <w:t>Équipements à émission constante</w:t>
      </w:r>
    </w:p>
    <w:p w14:paraId="6BFCB651" w14:textId="38B537CF" w:rsidR="008A3188" w:rsidRPr="007D2FA2" w:rsidRDefault="008A3188" w:rsidP="00D76653">
      <w:pPr>
        <w:pStyle w:val="Sansinterligne"/>
        <w:shd w:val="clear" w:color="auto" w:fill="E3DED1" w:themeFill="background2"/>
      </w:pPr>
      <w:r w:rsidRPr="007D2FA2">
        <w:rPr>
          <w:b/>
          <w:bCs/>
        </w:rPr>
        <w:t>Bureau administratif</w:t>
      </w:r>
    </w:p>
    <w:p w14:paraId="029CEA9C" w14:textId="4D054247" w:rsidR="008A3188" w:rsidRDefault="008A3188" w:rsidP="00D76653">
      <w:pPr>
        <w:pStyle w:val="Sansinterligne"/>
        <w:shd w:val="clear" w:color="auto" w:fill="E3DED1" w:themeFill="background2"/>
        <w:spacing w:after="160"/>
      </w:pPr>
      <w:r>
        <w:t xml:space="preserve">Quantité : </w:t>
      </w:r>
      <w:r w:rsidR="00E15092" w:rsidRPr="00CC29AC">
        <w:rPr>
          <w:b/>
          <w:bCs/>
          <w:color w:val="0070C0"/>
        </w:rPr>
        <w:t>0.2 tonne</w:t>
      </w:r>
      <w:r w:rsidR="006A4886">
        <w:rPr>
          <w:b/>
          <w:bCs/>
          <w:color w:val="0070C0"/>
        </w:rPr>
        <w:t>/jour</w:t>
      </w:r>
    </w:p>
    <w:p w14:paraId="726ABCD3" w14:textId="3BEF46DB" w:rsidR="00770FA9" w:rsidRPr="00342F84" w:rsidRDefault="00290744" w:rsidP="00342F84">
      <w:pPr>
        <w:pStyle w:val="Sansinterligne"/>
        <w:rPr>
          <w:i/>
          <w:iCs/>
        </w:rPr>
      </w:pPr>
      <w:r w:rsidRPr="00342F84">
        <w:rPr>
          <w:i/>
          <w:iCs/>
        </w:rPr>
        <w:t>Calcul d’une période</w:t>
      </w:r>
    </w:p>
    <w:p w14:paraId="7100989F" w14:textId="644C8F62" w:rsidR="00770FA9" w:rsidRDefault="00770FA9" w:rsidP="009E5D06">
      <w:r>
        <w:t xml:space="preserve">Période choisie : </w:t>
      </w:r>
      <w:r w:rsidR="001F6367" w:rsidRPr="000E6880">
        <w:rPr>
          <w:b/>
          <w:bCs/>
          <w:color w:val="00B0F0"/>
        </w:rPr>
        <w:t>Avril 2021</w:t>
      </w:r>
      <w:r w:rsidR="00CC21FB" w:rsidRPr="000E6880">
        <w:rPr>
          <w:b/>
          <w:bCs/>
          <w:color w:val="00B0F0"/>
        </w:rPr>
        <w:t xml:space="preserve"> (30 jours)</w:t>
      </w:r>
    </w:p>
    <w:p w14:paraId="664CACD2" w14:textId="4014D06D" w:rsidR="00656839" w:rsidRDefault="00656839" w:rsidP="00656839">
      <w:r>
        <w:t>Les émissions sont calculées en multipliant la quantité (</w:t>
      </w:r>
      <w:r w:rsidRPr="00CC29AC">
        <w:rPr>
          <w:b/>
          <w:bCs/>
          <w:color w:val="0070C0"/>
        </w:rPr>
        <w:t xml:space="preserve">0.2 </w:t>
      </w:r>
      <w:r w:rsidR="006A4886" w:rsidRPr="00CC29AC">
        <w:rPr>
          <w:b/>
          <w:bCs/>
          <w:color w:val="0070C0"/>
        </w:rPr>
        <w:t>tonne</w:t>
      </w:r>
      <w:r w:rsidR="006A4886">
        <w:rPr>
          <w:b/>
          <w:bCs/>
          <w:color w:val="0070C0"/>
        </w:rPr>
        <w:t>/jour</w:t>
      </w:r>
      <w:r>
        <w:t>) par la durée de la période à calculer.</w:t>
      </w:r>
    </w:p>
    <w:p w14:paraId="566035C8" w14:textId="720ADFB6" w:rsidR="007D2FA2" w:rsidRDefault="00F20134" w:rsidP="009E5D06">
      <w:r>
        <w:t xml:space="preserve">Pour un mois de 30 jours, les émissions de l’équipement seront de </w:t>
      </w:r>
      <w:r w:rsidRPr="00C546C5">
        <w:rPr>
          <w:b/>
          <w:bCs/>
        </w:rPr>
        <w:t>6 tonnes</w:t>
      </w:r>
      <w:r w:rsidR="00A04E02" w:rsidRPr="00C546C5">
        <w:rPr>
          <w:b/>
          <w:bCs/>
        </w:rPr>
        <w:t>/mois</w:t>
      </w:r>
      <w:r>
        <w:t xml:space="preserve"> (</w:t>
      </w:r>
      <w:r w:rsidRPr="00CC29AC">
        <w:rPr>
          <w:b/>
          <w:bCs/>
          <w:color w:val="0070C0"/>
        </w:rPr>
        <w:t xml:space="preserve">0.2 </w:t>
      </w:r>
      <w:r w:rsidR="006A4886" w:rsidRPr="00CC29AC">
        <w:rPr>
          <w:b/>
          <w:bCs/>
          <w:color w:val="0070C0"/>
        </w:rPr>
        <w:t>tonne</w:t>
      </w:r>
      <w:r w:rsidR="006A4886">
        <w:rPr>
          <w:b/>
          <w:bCs/>
          <w:color w:val="0070C0"/>
        </w:rPr>
        <w:t>/jour</w:t>
      </w:r>
      <w:r w:rsidR="006A4886">
        <w:t xml:space="preserve"> </w:t>
      </w:r>
      <w:r w:rsidR="00F93406">
        <w:t xml:space="preserve">× </w:t>
      </w:r>
      <w:r w:rsidR="00F93406" w:rsidRPr="000E6880">
        <w:rPr>
          <w:b/>
          <w:bCs/>
          <w:color w:val="00B0F0"/>
        </w:rPr>
        <w:t>30 jours</w:t>
      </w:r>
      <w:r w:rsidR="008339DD" w:rsidRPr="000E6880">
        <w:rPr>
          <w:b/>
          <w:bCs/>
          <w:color w:val="00B0F0"/>
        </w:rPr>
        <w:t>/mois</w:t>
      </w:r>
      <w:r w:rsidR="002F3B38">
        <w:t>)</w:t>
      </w:r>
      <w:r>
        <w:t>.</w:t>
      </w:r>
    </w:p>
    <w:p w14:paraId="2984A2C0" w14:textId="3CAE2088" w:rsidR="002F3B38" w:rsidRPr="002F3B38" w:rsidRDefault="002F3B38" w:rsidP="00D76653">
      <w:pPr>
        <w:pStyle w:val="Sansinterligne"/>
        <w:shd w:val="clear" w:color="auto" w:fill="E3DED1" w:themeFill="background2"/>
        <w:rPr>
          <w:b/>
          <w:bCs/>
        </w:rPr>
      </w:pPr>
      <w:r w:rsidRPr="002F3B38">
        <w:rPr>
          <w:b/>
          <w:bCs/>
        </w:rPr>
        <w:t>Système d’éclairage</w:t>
      </w:r>
    </w:p>
    <w:p w14:paraId="7F22E2E2" w14:textId="6744062E" w:rsidR="002F3B38" w:rsidRDefault="002F3B38" w:rsidP="00D76653">
      <w:pPr>
        <w:pStyle w:val="Sansinterligne"/>
        <w:shd w:val="clear" w:color="auto" w:fill="E3DED1" w:themeFill="background2"/>
        <w:spacing w:after="160"/>
      </w:pPr>
      <w:r w:rsidRPr="002F3B38">
        <w:t>Quantité</w:t>
      </w:r>
      <w:r>
        <w:t xml:space="preserve"> : </w:t>
      </w:r>
      <w:r w:rsidR="0060663D">
        <w:rPr>
          <w:b/>
          <w:bCs/>
          <w:color w:val="0070C0"/>
        </w:rPr>
        <w:t>0.0342</w:t>
      </w:r>
      <w:r w:rsidRPr="00CC29AC">
        <w:rPr>
          <w:b/>
          <w:bCs/>
          <w:color w:val="0070C0"/>
        </w:rPr>
        <w:t xml:space="preserve"> tonnes</w:t>
      </w:r>
      <w:r w:rsidR="006A4886">
        <w:rPr>
          <w:b/>
          <w:bCs/>
          <w:color w:val="0070C0"/>
        </w:rPr>
        <w:t>/jour</w:t>
      </w:r>
    </w:p>
    <w:p w14:paraId="682C31BC" w14:textId="459EFC8D" w:rsidR="001F6367" w:rsidRPr="00342F84" w:rsidRDefault="00290744" w:rsidP="00342F84">
      <w:pPr>
        <w:pStyle w:val="Sansinterligne"/>
        <w:rPr>
          <w:i/>
          <w:iCs/>
        </w:rPr>
      </w:pPr>
      <w:r w:rsidRPr="00342F84">
        <w:rPr>
          <w:i/>
          <w:iCs/>
        </w:rPr>
        <w:t>Calcul d’une période</w:t>
      </w:r>
    </w:p>
    <w:p w14:paraId="3A9EF514" w14:textId="0A6D99D1" w:rsidR="001F6367" w:rsidRPr="00490369" w:rsidRDefault="001F6367" w:rsidP="009E5D06">
      <w:pPr>
        <w:rPr>
          <w:b/>
          <w:bCs/>
          <w:color w:val="00B0F0"/>
        </w:rPr>
      </w:pPr>
      <w:r>
        <w:t xml:space="preserve">Période à calculer : </w:t>
      </w:r>
      <w:r w:rsidRPr="00490369">
        <w:rPr>
          <w:b/>
          <w:bCs/>
          <w:color w:val="00B0F0"/>
        </w:rPr>
        <w:t>Mars 2021</w:t>
      </w:r>
      <w:r w:rsidR="00CC21FB" w:rsidRPr="00490369">
        <w:rPr>
          <w:b/>
          <w:bCs/>
          <w:color w:val="00B0F0"/>
        </w:rPr>
        <w:t xml:space="preserve"> (31 jours)</w:t>
      </w:r>
    </w:p>
    <w:p w14:paraId="7C793957" w14:textId="484AB7E2" w:rsidR="00656839" w:rsidRDefault="00656839" w:rsidP="00656839">
      <w:r>
        <w:t>Les émissions sont calculées en multipliant la quantité (</w:t>
      </w:r>
      <w:r w:rsidR="0060663D">
        <w:rPr>
          <w:b/>
          <w:bCs/>
          <w:color w:val="0070C0"/>
        </w:rPr>
        <w:t>0.0342</w:t>
      </w:r>
      <w:r w:rsidR="0060663D" w:rsidRPr="00CC29AC">
        <w:rPr>
          <w:b/>
          <w:bCs/>
          <w:color w:val="0070C0"/>
        </w:rPr>
        <w:t xml:space="preserve"> tonnes</w:t>
      </w:r>
      <w:r w:rsidR="0060663D">
        <w:rPr>
          <w:b/>
          <w:bCs/>
          <w:color w:val="0070C0"/>
        </w:rPr>
        <w:t>/jour</w:t>
      </w:r>
      <w:r>
        <w:t xml:space="preserve">) par la durée de la période à calculer. </w:t>
      </w:r>
    </w:p>
    <w:p w14:paraId="60E8905E" w14:textId="0F5A4596" w:rsidR="006E68B5" w:rsidRDefault="00EA2087">
      <w:pPr>
        <w:rPr>
          <w:rFonts w:asciiTheme="majorHAnsi" w:eastAsiaTheme="majorEastAsia" w:hAnsiTheme="majorHAnsi" w:cstheme="majorBidi"/>
          <w:color w:val="294E1C" w:themeColor="accent1" w:themeShade="7F"/>
          <w:sz w:val="24"/>
          <w:szCs w:val="24"/>
        </w:rPr>
      </w:pPr>
      <w:r>
        <w:t>Pour un mois de 3</w:t>
      </w:r>
      <w:r w:rsidR="001F6367">
        <w:t>1</w:t>
      </w:r>
      <w:r>
        <w:t xml:space="preserve"> jours</w:t>
      </w:r>
      <w:r w:rsidR="009E5D06">
        <w:t xml:space="preserve">, les émissions de l’équipement seront de </w:t>
      </w:r>
      <w:r w:rsidR="00A04E02" w:rsidRPr="00C546C5">
        <w:rPr>
          <w:b/>
          <w:bCs/>
        </w:rPr>
        <w:t>1.0</w:t>
      </w:r>
      <w:r w:rsidR="00CC21FB" w:rsidRPr="00C546C5">
        <w:rPr>
          <w:b/>
          <w:bCs/>
        </w:rPr>
        <w:t>6</w:t>
      </w:r>
      <w:r w:rsidR="009E5D06" w:rsidRPr="00C546C5">
        <w:rPr>
          <w:b/>
          <w:bCs/>
        </w:rPr>
        <w:t xml:space="preserve"> tonnes</w:t>
      </w:r>
      <w:r w:rsidR="00A04E02" w:rsidRPr="00C546C5">
        <w:rPr>
          <w:b/>
          <w:bCs/>
        </w:rPr>
        <w:t>/mois</w:t>
      </w:r>
      <w:r w:rsidR="009E5D06">
        <w:t xml:space="preserve"> (</w:t>
      </w:r>
      <w:r w:rsidR="0060663D">
        <w:rPr>
          <w:b/>
          <w:bCs/>
          <w:color w:val="0070C0"/>
        </w:rPr>
        <w:t>0.0342</w:t>
      </w:r>
      <w:r w:rsidR="0060663D" w:rsidRPr="00CC29AC">
        <w:rPr>
          <w:b/>
          <w:bCs/>
          <w:color w:val="0070C0"/>
        </w:rPr>
        <w:t xml:space="preserve"> tonnes</w:t>
      </w:r>
      <w:r w:rsidR="0060663D">
        <w:rPr>
          <w:b/>
          <w:bCs/>
          <w:color w:val="0070C0"/>
        </w:rPr>
        <w:t>/jour</w:t>
      </w:r>
      <w:r w:rsidR="009854EC">
        <w:t xml:space="preserve"> </w:t>
      </w:r>
      <w:r w:rsidR="009E5D06">
        <w:t xml:space="preserve">× </w:t>
      </w:r>
      <w:r w:rsidR="009E5D06" w:rsidRPr="00490369">
        <w:rPr>
          <w:b/>
          <w:bCs/>
          <w:color w:val="00B0F0"/>
        </w:rPr>
        <w:t>3</w:t>
      </w:r>
      <w:r w:rsidR="00CC21FB" w:rsidRPr="00490369">
        <w:rPr>
          <w:b/>
          <w:bCs/>
          <w:color w:val="00B0F0"/>
        </w:rPr>
        <w:t>1</w:t>
      </w:r>
      <w:r w:rsidR="009E5D06" w:rsidRPr="00490369">
        <w:rPr>
          <w:b/>
          <w:bCs/>
          <w:color w:val="00B0F0"/>
        </w:rPr>
        <w:t xml:space="preserve"> jours</w:t>
      </w:r>
      <w:r w:rsidR="009854EC" w:rsidRPr="00490369">
        <w:rPr>
          <w:b/>
          <w:bCs/>
          <w:color w:val="00B0F0"/>
        </w:rPr>
        <w:t>/mois</w:t>
      </w:r>
      <w:r w:rsidR="009E5D06">
        <w:t>).</w:t>
      </w:r>
      <w:r w:rsidR="006E68B5">
        <w:br w:type="page"/>
      </w:r>
    </w:p>
    <w:p w14:paraId="0D77E6E4" w14:textId="4F754518" w:rsidR="008A3188" w:rsidRPr="00D76653" w:rsidRDefault="00CC7D2F" w:rsidP="00296AE7">
      <w:pPr>
        <w:pStyle w:val="Titre3"/>
        <w:jc w:val="center"/>
      </w:pPr>
      <w:r w:rsidRPr="00D76653">
        <w:lastRenderedPageBreak/>
        <w:t>Équipements à émissions linéaires</w:t>
      </w:r>
    </w:p>
    <w:p w14:paraId="22CE72C8" w14:textId="6A7C7671" w:rsidR="00CC7D2F" w:rsidRPr="00C9360E" w:rsidRDefault="00CC7D2F" w:rsidP="00D76653">
      <w:pPr>
        <w:pStyle w:val="Sansinterligne"/>
        <w:shd w:val="clear" w:color="auto" w:fill="E3DED1" w:themeFill="background2"/>
        <w:rPr>
          <w:b/>
          <w:bCs/>
        </w:rPr>
      </w:pPr>
      <w:r w:rsidRPr="00C9360E">
        <w:rPr>
          <w:b/>
          <w:bCs/>
        </w:rPr>
        <w:t>Flotte de camions</w:t>
      </w:r>
    </w:p>
    <w:p w14:paraId="43D8B1E8" w14:textId="6AB947F7" w:rsidR="00CC7D2F" w:rsidRDefault="00CC7D2F" w:rsidP="00D76653">
      <w:pPr>
        <w:pStyle w:val="Sansinterligne"/>
        <w:shd w:val="clear" w:color="auto" w:fill="E3DED1" w:themeFill="background2"/>
      </w:pPr>
      <w:r>
        <w:t xml:space="preserve">Unité de mesure : </w:t>
      </w:r>
      <w:r w:rsidR="000400DF" w:rsidRPr="00342F84">
        <w:rPr>
          <w:b/>
          <w:bCs/>
          <w:color w:val="0070C0"/>
        </w:rPr>
        <w:t>km</w:t>
      </w:r>
    </w:p>
    <w:p w14:paraId="610AC2E8" w14:textId="7F4B7627" w:rsidR="000400DF" w:rsidRDefault="000400DF" w:rsidP="00D76653">
      <w:pPr>
        <w:shd w:val="clear" w:color="auto" w:fill="E3DED1" w:themeFill="background2"/>
      </w:pPr>
      <w:r>
        <w:t xml:space="preserve">Facteur de conversion : </w:t>
      </w:r>
      <w:r w:rsidR="00C322AC" w:rsidRPr="00342F84">
        <w:rPr>
          <w:b/>
          <w:bCs/>
          <w:color w:val="7030A0"/>
        </w:rPr>
        <w:t>0.000506</w:t>
      </w:r>
      <w:r w:rsidR="00565DD5">
        <w:rPr>
          <w:b/>
          <w:bCs/>
          <w:color w:val="7030A0"/>
        </w:rPr>
        <w:t xml:space="preserve"> t</w:t>
      </w:r>
      <w:r w:rsidR="00565DD5" w:rsidRPr="00565DD5">
        <w:rPr>
          <w:b/>
          <w:bCs/>
        </w:rPr>
        <w:t xml:space="preserve"> / </w:t>
      </w:r>
      <w:r w:rsidR="00565DD5" w:rsidRPr="00565DD5">
        <w:rPr>
          <w:b/>
          <w:bCs/>
          <w:color w:val="0070C0"/>
        </w:rPr>
        <w:t>km</w:t>
      </w:r>
    </w:p>
    <w:p w14:paraId="4D28DC5A" w14:textId="1116BB62" w:rsidR="00156857" w:rsidRPr="00342F84" w:rsidRDefault="00156857" w:rsidP="00342F84">
      <w:pPr>
        <w:pStyle w:val="Sansinterligne"/>
        <w:rPr>
          <w:i/>
          <w:iCs/>
        </w:rPr>
      </w:pPr>
      <w:r w:rsidRPr="00342F84">
        <w:rPr>
          <w:i/>
          <w:iCs/>
        </w:rPr>
        <w:t>Calcul d’une période</w:t>
      </w:r>
      <w:r w:rsidR="0074552D">
        <w:rPr>
          <w:i/>
          <w:iCs/>
        </w:rPr>
        <w:t> :</w:t>
      </w:r>
    </w:p>
    <w:p w14:paraId="5F949AFC" w14:textId="4ED85E0A" w:rsidR="00E56BBA" w:rsidRDefault="00342F84" w:rsidP="00342F84">
      <w:r>
        <w:t>Utilisation</w:t>
      </w:r>
      <w:r w:rsidR="000E6880">
        <w:t xml:space="preserve"> durant la période : </w:t>
      </w:r>
      <w:r w:rsidR="000E6880" w:rsidRPr="00342F84">
        <w:rPr>
          <w:b/>
          <w:bCs/>
          <w:color w:val="FFC000"/>
        </w:rPr>
        <w:t>12</w:t>
      </w:r>
      <w:r w:rsidR="009513DF">
        <w:rPr>
          <w:b/>
          <w:bCs/>
          <w:color w:val="FFC000"/>
        </w:rPr>
        <w:t xml:space="preserve"> </w:t>
      </w:r>
      <w:r w:rsidR="000E6880" w:rsidRPr="00342F84">
        <w:rPr>
          <w:b/>
          <w:bCs/>
          <w:color w:val="FFC000"/>
        </w:rPr>
        <w:t>534</w:t>
      </w:r>
      <w:r w:rsidR="000E6880" w:rsidRPr="00342F84">
        <w:rPr>
          <w:color w:val="FFC000"/>
        </w:rPr>
        <w:t xml:space="preserve"> </w:t>
      </w:r>
      <w:r w:rsidR="000E6880" w:rsidRPr="00342F84">
        <w:rPr>
          <w:b/>
          <w:bCs/>
          <w:color w:val="0070C0"/>
        </w:rPr>
        <w:t>km</w:t>
      </w:r>
    </w:p>
    <w:p w14:paraId="40650186" w14:textId="22856CF6" w:rsidR="00342F84" w:rsidRDefault="00656839" w:rsidP="00342F84">
      <w:r>
        <w:t>Les émissions sont calculées en multipliant le facteur de conversion par l’utilisation de l’équipement durant la période.</w:t>
      </w:r>
      <w:r w:rsidR="00E9211A">
        <w:t xml:space="preserve"> Pour l’utilisation indiquée</w:t>
      </w:r>
      <w:r w:rsidR="008844CE">
        <w:t xml:space="preserve"> durant la période</w:t>
      </w:r>
      <w:r w:rsidR="00342F84">
        <w:t xml:space="preserve">, les émissions de l’équipement seront de </w:t>
      </w:r>
      <w:r w:rsidR="00386C75" w:rsidRPr="00C546C5">
        <w:rPr>
          <w:b/>
          <w:bCs/>
        </w:rPr>
        <w:t>6</w:t>
      </w:r>
      <w:r w:rsidR="009513DF">
        <w:rPr>
          <w:b/>
          <w:bCs/>
        </w:rPr>
        <w:t>.</w:t>
      </w:r>
      <w:r w:rsidR="00386C75" w:rsidRPr="00C546C5">
        <w:rPr>
          <w:b/>
          <w:bCs/>
        </w:rPr>
        <w:t>34</w:t>
      </w:r>
      <w:r w:rsidR="00342F84" w:rsidRPr="00C546C5">
        <w:rPr>
          <w:b/>
          <w:bCs/>
        </w:rPr>
        <w:t xml:space="preserve"> tonnes/mois</w:t>
      </w:r>
      <w:r w:rsidR="00342F84">
        <w:t xml:space="preserve"> (</w:t>
      </w:r>
      <w:r w:rsidR="00565DD5" w:rsidRPr="00342F84">
        <w:rPr>
          <w:b/>
          <w:bCs/>
          <w:color w:val="FFC000"/>
        </w:rPr>
        <w:t>12</w:t>
      </w:r>
      <w:r w:rsidR="009513DF">
        <w:rPr>
          <w:b/>
          <w:bCs/>
          <w:color w:val="FFC000"/>
        </w:rPr>
        <w:t xml:space="preserve"> </w:t>
      </w:r>
      <w:r w:rsidR="00565DD5" w:rsidRPr="00342F84">
        <w:rPr>
          <w:b/>
          <w:bCs/>
          <w:color w:val="FFC000"/>
        </w:rPr>
        <w:t>534</w:t>
      </w:r>
      <w:r w:rsidR="00565DD5" w:rsidRPr="00342F84">
        <w:rPr>
          <w:color w:val="FFC000"/>
        </w:rPr>
        <w:t xml:space="preserve"> </w:t>
      </w:r>
      <w:r w:rsidR="00565DD5" w:rsidRPr="00342F84">
        <w:rPr>
          <w:b/>
          <w:bCs/>
          <w:color w:val="0070C0"/>
        </w:rPr>
        <w:t>km</w:t>
      </w:r>
      <w:r w:rsidR="00565DD5">
        <w:t xml:space="preserve"> × </w:t>
      </w:r>
      <w:r w:rsidR="00565DD5" w:rsidRPr="00342F84">
        <w:rPr>
          <w:b/>
          <w:bCs/>
          <w:color w:val="7030A0"/>
        </w:rPr>
        <w:t>0.000506</w:t>
      </w:r>
      <w:r w:rsidR="00565DD5">
        <w:rPr>
          <w:b/>
          <w:bCs/>
          <w:color w:val="7030A0"/>
        </w:rPr>
        <w:t xml:space="preserve"> t</w:t>
      </w:r>
      <w:r w:rsidR="00565DD5" w:rsidRPr="00565DD5">
        <w:rPr>
          <w:b/>
          <w:bCs/>
        </w:rPr>
        <w:t xml:space="preserve"> / </w:t>
      </w:r>
      <w:r w:rsidR="00565DD5" w:rsidRPr="00565DD5">
        <w:rPr>
          <w:b/>
          <w:bCs/>
          <w:color w:val="0070C0"/>
        </w:rPr>
        <w:t>km</w:t>
      </w:r>
      <w:r w:rsidR="00342F84">
        <w:t>).</w:t>
      </w:r>
    </w:p>
    <w:p w14:paraId="4CADCE24" w14:textId="4FD4A027" w:rsidR="008844CE" w:rsidRPr="00C9360E" w:rsidRDefault="005B6EC1" w:rsidP="00D76653">
      <w:pPr>
        <w:pStyle w:val="Sansinterligne"/>
        <w:shd w:val="clear" w:color="auto" w:fill="E3DED1" w:themeFill="background2"/>
        <w:rPr>
          <w:b/>
          <w:bCs/>
        </w:rPr>
      </w:pPr>
      <w:r>
        <w:rPr>
          <w:b/>
          <w:bCs/>
        </w:rPr>
        <w:t>Four à pizza</w:t>
      </w:r>
    </w:p>
    <w:p w14:paraId="42CA17FD" w14:textId="1B15F5CE" w:rsidR="008844CE" w:rsidRDefault="008844CE" w:rsidP="00D76653">
      <w:pPr>
        <w:pStyle w:val="Sansinterligne"/>
        <w:shd w:val="clear" w:color="auto" w:fill="E3DED1" w:themeFill="background2"/>
      </w:pPr>
      <w:r>
        <w:t xml:space="preserve">Unité de mesure : </w:t>
      </w:r>
      <w:r w:rsidR="005B6EC1">
        <w:rPr>
          <w:b/>
          <w:bCs/>
          <w:color w:val="0070C0"/>
        </w:rPr>
        <w:t>pizza</w:t>
      </w:r>
    </w:p>
    <w:p w14:paraId="5E0727BD" w14:textId="7CE051B6" w:rsidR="008844CE" w:rsidRDefault="008844CE" w:rsidP="00D76653">
      <w:pPr>
        <w:shd w:val="clear" w:color="auto" w:fill="E3DED1" w:themeFill="background2"/>
      </w:pPr>
      <w:r>
        <w:t xml:space="preserve">Facteur de conversion : </w:t>
      </w:r>
      <w:r w:rsidRPr="00342F84">
        <w:rPr>
          <w:b/>
          <w:bCs/>
          <w:color w:val="7030A0"/>
        </w:rPr>
        <w:t>0.00</w:t>
      </w:r>
      <w:r w:rsidR="00DF432D">
        <w:rPr>
          <w:b/>
          <w:bCs/>
          <w:color w:val="7030A0"/>
        </w:rPr>
        <w:t>11</w:t>
      </w:r>
      <w:r>
        <w:rPr>
          <w:b/>
          <w:bCs/>
          <w:color w:val="7030A0"/>
        </w:rPr>
        <w:t xml:space="preserve"> t</w:t>
      </w:r>
      <w:r w:rsidRPr="00565DD5">
        <w:rPr>
          <w:b/>
          <w:bCs/>
        </w:rPr>
        <w:t xml:space="preserve"> / </w:t>
      </w:r>
      <w:r w:rsidR="005B6EC1">
        <w:rPr>
          <w:b/>
          <w:bCs/>
          <w:color w:val="0070C0"/>
        </w:rPr>
        <w:t>pizza</w:t>
      </w:r>
    </w:p>
    <w:p w14:paraId="538C6DE7" w14:textId="77777777" w:rsidR="008844CE" w:rsidRPr="00342F84" w:rsidRDefault="008844CE" w:rsidP="008844CE">
      <w:pPr>
        <w:pStyle w:val="Sansinterligne"/>
        <w:rPr>
          <w:i/>
          <w:iCs/>
        </w:rPr>
      </w:pPr>
      <w:r w:rsidRPr="00342F84">
        <w:rPr>
          <w:i/>
          <w:iCs/>
        </w:rPr>
        <w:t>Calcul d’une période</w:t>
      </w:r>
    </w:p>
    <w:p w14:paraId="4D611481" w14:textId="1DC522B2" w:rsidR="008844CE" w:rsidRDefault="008844CE" w:rsidP="008844CE">
      <w:r>
        <w:t xml:space="preserve">Utilisation durant la période : </w:t>
      </w:r>
      <w:r w:rsidR="00DF432D">
        <w:rPr>
          <w:b/>
          <w:bCs/>
          <w:color w:val="FFC000"/>
        </w:rPr>
        <w:t>7 942</w:t>
      </w:r>
      <w:r w:rsidRPr="00342F84">
        <w:rPr>
          <w:color w:val="FFC000"/>
        </w:rPr>
        <w:t xml:space="preserve"> </w:t>
      </w:r>
      <w:r w:rsidR="00DF432D">
        <w:rPr>
          <w:b/>
          <w:bCs/>
          <w:color w:val="0070C0"/>
        </w:rPr>
        <w:t>pizzas</w:t>
      </w:r>
    </w:p>
    <w:p w14:paraId="205C6DAF" w14:textId="0B89867A" w:rsidR="008844CE" w:rsidRDefault="008844CE" w:rsidP="008844CE">
      <w:r>
        <w:t xml:space="preserve">Les émissions sont calculées en multipliant le facteur de conversion par l’utilisation de l’équipement durant la période. Pour l’utilisation indiquée durant la période, les émissions de l’équipement seront de </w:t>
      </w:r>
      <w:r w:rsidR="006825F6">
        <w:rPr>
          <w:b/>
          <w:bCs/>
        </w:rPr>
        <w:t>8.</w:t>
      </w:r>
      <w:r w:rsidR="000529DD" w:rsidRPr="00C546C5">
        <w:rPr>
          <w:b/>
          <w:bCs/>
        </w:rPr>
        <w:t>7</w:t>
      </w:r>
      <w:r w:rsidR="006825F6">
        <w:rPr>
          <w:b/>
          <w:bCs/>
        </w:rPr>
        <w:t>4</w:t>
      </w:r>
      <w:r w:rsidRPr="00C546C5">
        <w:rPr>
          <w:b/>
          <w:bCs/>
        </w:rPr>
        <w:t xml:space="preserve"> tonnes/mois</w:t>
      </w:r>
      <w:r>
        <w:t xml:space="preserve"> (</w:t>
      </w:r>
      <w:r w:rsidR="000529DD">
        <w:rPr>
          <w:b/>
          <w:bCs/>
          <w:color w:val="FFC000"/>
        </w:rPr>
        <w:t>7 942</w:t>
      </w:r>
      <w:r w:rsidR="000529DD" w:rsidRPr="00342F84">
        <w:rPr>
          <w:color w:val="FFC000"/>
        </w:rPr>
        <w:t xml:space="preserve"> </w:t>
      </w:r>
      <w:r w:rsidR="000529DD">
        <w:rPr>
          <w:b/>
          <w:bCs/>
          <w:color w:val="0070C0"/>
        </w:rPr>
        <w:t>pizzas</w:t>
      </w:r>
      <w:r w:rsidR="000529DD">
        <w:t xml:space="preserve"> </w:t>
      </w:r>
      <w:r>
        <w:t xml:space="preserve">× </w:t>
      </w:r>
      <w:r w:rsidR="000529DD" w:rsidRPr="00342F84">
        <w:rPr>
          <w:b/>
          <w:bCs/>
          <w:color w:val="7030A0"/>
        </w:rPr>
        <w:t>0.00</w:t>
      </w:r>
      <w:r w:rsidR="000529DD">
        <w:rPr>
          <w:b/>
          <w:bCs/>
          <w:color w:val="7030A0"/>
        </w:rPr>
        <w:t>11 t</w:t>
      </w:r>
      <w:r w:rsidR="000529DD" w:rsidRPr="00565DD5">
        <w:rPr>
          <w:b/>
          <w:bCs/>
        </w:rPr>
        <w:t xml:space="preserve"> / </w:t>
      </w:r>
      <w:r w:rsidR="000529DD">
        <w:rPr>
          <w:b/>
          <w:bCs/>
          <w:color w:val="0070C0"/>
        </w:rPr>
        <w:t>pizza</w:t>
      </w:r>
      <w:r>
        <w:t>).</w:t>
      </w:r>
    </w:p>
    <w:p w14:paraId="7557DDA7" w14:textId="46DF38DE" w:rsidR="001224BD" w:rsidRDefault="001224BD" w:rsidP="008844CE"/>
    <w:p w14:paraId="23807781" w14:textId="1D0242A5" w:rsidR="001224BD" w:rsidRPr="00D76653" w:rsidRDefault="001224BD" w:rsidP="00296AE7">
      <w:pPr>
        <w:pStyle w:val="Titre3"/>
        <w:jc w:val="center"/>
      </w:pPr>
      <w:r w:rsidRPr="00D76653">
        <w:t xml:space="preserve">Équipements à émissions </w:t>
      </w:r>
      <w:r w:rsidR="00296AE7">
        <w:t>relatives</w:t>
      </w:r>
    </w:p>
    <w:p w14:paraId="1275430B" w14:textId="402F1C08" w:rsidR="001224BD" w:rsidRPr="00C9360E" w:rsidRDefault="008332DE" w:rsidP="00D76653">
      <w:pPr>
        <w:pStyle w:val="Sansinterligne"/>
        <w:shd w:val="clear" w:color="auto" w:fill="E3DED1" w:themeFill="background2"/>
        <w:rPr>
          <w:b/>
          <w:bCs/>
        </w:rPr>
      </w:pPr>
      <w:r>
        <w:rPr>
          <w:b/>
          <w:bCs/>
        </w:rPr>
        <w:t>Centrale électrique au gaz</w:t>
      </w:r>
    </w:p>
    <w:p w14:paraId="3799B2CC" w14:textId="5F684FDC" w:rsidR="001224BD" w:rsidRDefault="008332DE" w:rsidP="00D76653">
      <w:pPr>
        <w:pStyle w:val="Sansinterligne"/>
        <w:shd w:val="clear" w:color="auto" w:fill="E3DED1" w:themeFill="background2"/>
      </w:pPr>
      <w:r>
        <w:t>Émissions à intensité nulle (0%)</w:t>
      </w:r>
      <w:r w:rsidR="001224BD">
        <w:t xml:space="preserve"> : </w:t>
      </w:r>
      <w:r w:rsidR="004F335D">
        <w:rPr>
          <w:b/>
          <w:bCs/>
          <w:color w:val="0070C0"/>
        </w:rPr>
        <w:t>0.07</w:t>
      </w:r>
      <w:r>
        <w:rPr>
          <w:b/>
          <w:bCs/>
          <w:color w:val="0070C0"/>
        </w:rPr>
        <w:t xml:space="preserve"> t</w:t>
      </w:r>
      <w:r w:rsidR="004F335D">
        <w:rPr>
          <w:b/>
          <w:bCs/>
          <w:color w:val="0070C0"/>
        </w:rPr>
        <w:t>onne/jour</w:t>
      </w:r>
    </w:p>
    <w:p w14:paraId="1E6CFF9F" w14:textId="19C1552C" w:rsidR="001224BD" w:rsidRDefault="008332DE" w:rsidP="00D76653">
      <w:pPr>
        <w:shd w:val="clear" w:color="auto" w:fill="E3DED1" w:themeFill="background2"/>
      </w:pPr>
      <w:r>
        <w:t>Émissions à intensité maximale (100%)</w:t>
      </w:r>
      <w:r w:rsidR="001224BD">
        <w:t xml:space="preserve"> : </w:t>
      </w:r>
      <w:r w:rsidR="004F335D">
        <w:rPr>
          <w:b/>
          <w:bCs/>
          <w:color w:val="7030A0"/>
        </w:rPr>
        <w:t>2.42</w:t>
      </w:r>
      <w:r w:rsidR="001224BD">
        <w:rPr>
          <w:b/>
          <w:bCs/>
          <w:color w:val="7030A0"/>
        </w:rPr>
        <w:t xml:space="preserve"> t</w:t>
      </w:r>
      <w:r w:rsidR="000E44B5">
        <w:rPr>
          <w:b/>
          <w:bCs/>
          <w:color w:val="7030A0"/>
        </w:rPr>
        <w:t>onnes/jour</w:t>
      </w:r>
    </w:p>
    <w:p w14:paraId="5697437D" w14:textId="77777777" w:rsidR="001224BD" w:rsidRPr="00342F84" w:rsidRDefault="001224BD" w:rsidP="001224BD">
      <w:pPr>
        <w:pStyle w:val="Sansinterligne"/>
        <w:rPr>
          <w:i/>
          <w:iCs/>
        </w:rPr>
      </w:pPr>
      <w:r w:rsidRPr="00342F84">
        <w:rPr>
          <w:i/>
          <w:iCs/>
        </w:rPr>
        <w:t>Calcul d’une période</w:t>
      </w:r>
    </w:p>
    <w:p w14:paraId="0404EC41" w14:textId="3FCC9625" w:rsidR="001224BD" w:rsidRDefault="008332DE" w:rsidP="004F335D">
      <w:pPr>
        <w:spacing w:after="0"/>
        <w:rPr>
          <w:b/>
          <w:bCs/>
          <w:color w:val="FFC000"/>
        </w:rPr>
      </w:pPr>
      <w:r>
        <w:t xml:space="preserve">Intensité moyenne durant la période : </w:t>
      </w:r>
      <w:r w:rsidRPr="008332DE">
        <w:rPr>
          <w:b/>
          <w:bCs/>
          <w:color w:val="FFC000"/>
        </w:rPr>
        <w:t>72%</w:t>
      </w:r>
    </w:p>
    <w:p w14:paraId="26A8E083" w14:textId="1D48A57C" w:rsidR="004F335D" w:rsidRDefault="004F335D" w:rsidP="001224BD">
      <w:r>
        <w:t xml:space="preserve">Période : </w:t>
      </w:r>
      <w:r w:rsidR="000E44B5" w:rsidRPr="000E44B5">
        <w:rPr>
          <w:b/>
          <w:bCs/>
          <w:color w:val="00B0F0"/>
        </w:rPr>
        <w:t>Juin 2021 (30 jours)</w:t>
      </w:r>
    </w:p>
    <w:p w14:paraId="4BE824EC" w14:textId="74CA24F5" w:rsidR="001224BD" w:rsidRDefault="001224BD" w:rsidP="001224BD">
      <w:r>
        <w:t xml:space="preserve">Les émissions sont calculées en </w:t>
      </w:r>
      <w:r w:rsidR="008D7936">
        <w:t xml:space="preserve">faisant une interpolation (une règle de trois) entre </w:t>
      </w:r>
      <w:r w:rsidR="00524D5F">
        <w:t>l’émission à intensité nulle et l’émission à intensité maximale selon l’intensité moyenne durant la période</w:t>
      </w:r>
      <w:r>
        <w:t xml:space="preserve">. Pour </w:t>
      </w:r>
      <w:r w:rsidR="00524D5F">
        <w:t>intensité moyenne</w:t>
      </w:r>
      <w:r>
        <w:t xml:space="preserve"> indiquée durant la période, les émissions de l’équipement seront de </w:t>
      </w:r>
      <w:r w:rsidR="0008115D" w:rsidRPr="00C546C5">
        <w:rPr>
          <w:b/>
          <w:bCs/>
        </w:rPr>
        <w:t>52.86</w:t>
      </w:r>
      <w:r w:rsidRPr="00C546C5">
        <w:rPr>
          <w:b/>
          <w:bCs/>
        </w:rPr>
        <w:t xml:space="preserve"> tonnes/mois</w:t>
      </w:r>
      <w:r>
        <w:t xml:space="preserve"> (</w:t>
      </w:r>
      <w:r w:rsidR="00730709">
        <w:t>(</w:t>
      </w:r>
      <w:r w:rsidR="000E44B5">
        <w:rPr>
          <w:b/>
          <w:bCs/>
          <w:color w:val="0070C0"/>
        </w:rPr>
        <w:t>0.07 tonne/jour</w:t>
      </w:r>
      <w:r w:rsidR="000E44B5">
        <w:t xml:space="preserve"> </w:t>
      </w:r>
      <w:r w:rsidR="009E11EA">
        <w:t>+ (</w:t>
      </w:r>
      <w:r w:rsidR="000E44B5">
        <w:rPr>
          <w:b/>
          <w:bCs/>
          <w:color w:val="7030A0"/>
        </w:rPr>
        <w:t>2.42 tonnes/jour</w:t>
      </w:r>
      <w:r w:rsidR="00524D5F" w:rsidRPr="009E11EA">
        <w:t xml:space="preserve"> – </w:t>
      </w:r>
      <w:r w:rsidR="000E44B5">
        <w:rPr>
          <w:b/>
          <w:bCs/>
          <w:color w:val="0070C0"/>
        </w:rPr>
        <w:t>0.07 tonne/jour</w:t>
      </w:r>
      <w:r w:rsidR="00524D5F" w:rsidRPr="009E11EA">
        <w:t>)</w:t>
      </w:r>
      <w:r w:rsidR="009E11EA">
        <w:t xml:space="preserve"> × </w:t>
      </w:r>
      <w:r w:rsidR="009E11EA">
        <w:rPr>
          <w:b/>
          <w:bCs/>
          <w:color w:val="FFC000"/>
        </w:rPr>
        <w:t>72%</w:t>
      </w:r>
      <w:r w:rsidR="00730709">
        <w:t xml:space="preserve">) </w:t>
      </w:r>
      <w:r w:rsidR="000E44B5">
        <w:t xml:space="preserve">× </w:t>
      </w:r>
      <w:r w:rsidR="000E44B5" w:rsidRPr="000E6880">
        <w:rPr>
          <w:b/>
          <w:bCs/>
          <w:color w:val="00B0F0"/>
        </w:rPr>
        <w:t>30 jours/mois</w:t>
      </w:r>
      <w:r>
        <w:t>).</w:t>
      </w:r>
    </w:p>
    <w:p w14:paraId="7B97D8D9" w14:textId="4974640F" w:rsidR="001224BD" w:rsidRPr="00C9360E" w:rsidRDefault="008E554A" w:rsidP="00D76653">
      <w:pPr>
        <w:pStyle w:val="Sansinterligne"/>
        <w:shd w:val="clear" w:color="auto" w:fill="E3DED1" w:themeFill="background2"/>
        <w:rPr>
          <w:b/>
          <w:bCs/>
        </w:rPr>
      </w:pPr>
      <w:r>
        <w:rPr>
          <w:b/>
          <w:bCs/>
        </w:rPr>
        <w:t>Cuve à électrolyse (aluminerie)</w:t>
      </w:r>
    </w:p>
    <w:p w14:paraId="451CF634" w14:textId="442DA187" w:rsidR="008E554A" w:rsidRDefault="008E554A" w:rsidP="00D76653">
      <w:pPr>
        <w:pStyle w:val="Sansinterligne"/>
        <w:shd w:val="clear" w:color="auto" w:fill="E3DED1" w:themeFill="background2"/>
      </w:pPr>
      <w:r>
        <w:t xml:space="preserve">Émissions à intensité nulle (0%) : </w:t>
      </w:r>
      <w:r w:rsidR="00E60FE8">
        <w:rPr>
          <w:b/>
          <w:bCs/>
          <w:color w:val="0070C0"/>
        </w:rPr>
        <w:t>0.2</w:t>
      </w:r>
      <w:r>
        <w:rPr>
          <w:b/>
          <w:bCs/>
          <w:color w:val="0070C0"/>
        </w:rPr>
        <w:t xml:space="preserve"> t</w:t>
      </w:r>
      <w:r w:rsidR="00E60FE8">
        <w:rPr>
          <w:b/>
          <w:bCs/>
          <w:color w:val="0070C0"/>
        </w:rPr>
        <w:t>onne/jour</w:t>
      </w:r>
    </w:p>
    <w:p w14:paraId="031E0DC0" w14:textId="2F2BD896" w:rsidR="008E554A" w:rsidRPr="00FE5CE9" w:rsidRDefault="008E554A" w:rsidP="00D76653">
      <w:pPr>
        <w:pStyle w:val="Sansinterligne"/>
        <w:shd w:val="clear" w:color="auto" w:fill="E3DED1" w:themeFill="background2"/>
        <w:spacing w:after="160"/>
      </w:pPr>
      <w:r>
        <w:t xml:space="preserve">Émissions à intensité maximale (100%) : </w:t>
      </w:r>
      <w:r w:rsidR="00E60FE8">
        <w:rPr>
          <w:b/>
          <w:bCs/>
          <w:color w:val="7030A0"/>
        </w:rPr>
        <w:t>0.85</w:t>
      </w:r>
      <w:r w:rsidRPr="00FE5CE9">
        <w:rPr>
          <w:b/>
          <w:bCs/>
          <w:color w:val="7030A0"/>
        </w:rPr>
        <w:t xml:space="preserve"> t</w:t>
      </w:r>
      <w:r w:rsidR="00E60FE8">
        <w:rPr>
          <w:b/>
          <w:bCs/>
          <w:color w:val="7030A0"/>
        </w:rPr>
        <w:t>onne/jour</w:t>
      </w:r>
    </w:p>
    <w:p w14:paraId="33021E98" w14:textId="77777777" w:rsidR="008E554A" w:rsidRPr="00342F84" w:rsidRDefault="008E554A" w:rsidP="008E554A">
      <w:pPr>
        <w:pStyle w:val="Sansinterligne"/>
        <w:rPr>
          <w:i/>
          <w:iCs/>
        </w:rPr>
      </w:pPr>
      <w:r w:rsidRPr="00342F84">
        <w:rPr>
          <w:i/>
          <w:iCs/>
        </w:rPr>
        <w:t>Calcul d’une période</w:t>
      </w:r>
    </w:p>
    <w:p w14:paraId="18D502E9" w14:textId="2140E10F" w:rsidR="00500D72" w:rsidRDefault="00500D72" w:rsidP="00500D72">
      <w:pPr>
        <w:spacing w:after="0"/>
        <w:rPr>
          <w:b/>
          <w:bCs/>
          <w:color w:val="FFC000"/>
        </w:rPr>
      </w:pPr>
      <w:r>
        <w:t xml:space="preserve">Intensité moyenne durant la période : </w:t>
      </w:r>
      <w:r>
        <w:rPr>
          <w:b/>
          <w:bCs/>
          <w:color w:val="FFC000"/>
        </w:rPr>
        <w:t>48</w:t>
      </w:r>
      <w:r w:rsidRPr="008332DE">
        <w:rPr>
          <w:b/>
          <w:bCs/>
          <w:color w:val="FFC000"/>
        </w:rPr>
        <w:t>%</w:t>
      </w:r>
    </w:p>
    <w:p w14:paraId="3EDD74AB" w14:textId="007CA20C" w:rsidR="00500D72" w:rsidRDefault="00500D72" w:rsidP="00500D72">
      <w:r>
        <w:t xml:space="preserve">Période : </w:t>
      </w:r>
      <w:r>
        <w:rPr>
          <w:b/>
          <w:bCs/>
          <w:color w:val="00B0F0"/>
        </w:rPr>
        <w:t>Juillet</w:t>
      </w:r>
      <w:r w:rsidRPr="000E44B5">
        <w:rPr>
          <w:b/>
          <w:bCs/>
          <w:color w:val="00B0F0"/>
        </w:rPr>
        <w:t xml:space="preserve"> 2021 (3</w:t>
      </w:r>
      <w:r>
        <w:rPr>
          <w:b/>
          <w:bCs/>
          <w:color w:val="00B0F0"/>
        </w:rPr>
        <w:t>1</w:t>
      </w:r>
      <w:r w:rsidRPr="000E44B5">
        <w:rPr>
          <w:b/>
          <w:bCs/>
          <w:color w:val="00B0F0"/>
        </w:rPr>
        <w:t xml:space="preserve"> jours)</w:t>
      </w:r>
    </w:p>
    <w:p w14:paraId="6C503657" w14:textId="54F35D06" w:rsidR="00382B79" w:rsidRDefault="008E554A" w:rsidP="00382B79">
      <w:r>
        <w:t xml:space="preserve">Les émissions sont calculées en faisant une interpolation (une règle de trois) entre l’émission à intensité nulle et l’émission à intensité maximale selon l’intensité moyenne durant la période. Pour intensité moyenne indiquée durant la période, les émissions de </w:t>
      </w:r>
      <w:r>
        <w:lastRenderedPageBreak/>
        <w:t xml:space="preserve">l’équipement seront de </w:t>
      </w:r>
      <w:r w:rsidR="002E3163" w:rsidRPr="00C546C5">
        <w:rPr>
          <w:b/>
          <w:bCs/>
        </w:rPr>
        <w:t>15.87</w:t>
      </w:r>
      <w:r w:rsidRPr="00C546C5">
        <w:rPr>
          <w:b/>
          <w:bCs/>
        </w:rPr>
        <w:t xml:space="preserve"> tonnes/mois</w:t>
      </w:r>
      <w:r>
        <w:t xml:space="preserve"> (</w:t>
      </w:r>
      <w:r w:rsidR="00730709">
        <w:t>(</w:t>
      </w:r>
      <w:r w:rsidR="00695740">
        <w:rPr>
          <w:b/>
          <w:bCs/>
          <w:color w:val="0070C0"/>
        </w:rPr>
        <w:t>0.2 tonne/jour</w:t>
      </w:r>
      <w:r w:rsidR="00695740">
        <w:t xml:space="preserve"> </w:t>
      </w:r>
      <w:r>
        <w:t>+ (</w:t>
      </w:r>
      <w:r w:rsidR="00695740">
        <w:rPr>
          <w:b/>
          <w:bCs/>
          <w:color w:val="7030A0"/>
        </w:rPr>
        <w:t>0.85</w:t>
      </w:r>
      <w:r w:rsidR="00695740" w:rsidRPr="00FE5CE9">
        <w:rPr>
          <w:b/>
          <w:bCs/>
          <w:color w:val="7030A0"/>
        </w:rPr>
        <w:t xml:space="preserve"> t</w:t>
      </w:r>
      <w:r w:rsidR="00695740">
        <w:rPr>
          <w:b/>
          <w:bCs/>
          <w:color w:val="7030A0"/>
        </w:rPr>
        <w:t>onne/jour</w:t>
      </w:r>
      <w:r w:rsidR="00695740" w:rsidRPr="009E11EA">
        <w:t xml:space="preserve"> </w:t>
      </w:r>
      <w:r w:rsidRPr="009E11EA">
        <w:t xml:space="preserve">– </w:t>
      </w:r>
      <w:r w:rsidR="00695740">
        <w:rPr>
          <w:b/>
          <w:bCs/>
          <w:color w:val="0070C0"/>
        </w:rPr>
        <w:t>0.2 tonne/jour</w:t>
      </w:r>
      <w:r w:rsidRPr="009E11EA">
        <w:t>)</w:t>
      </w:r>
      <w:r>
        <w:t xml:space="preserve"> × </w:t>
      </w:r>
      <w:r w:rsidR="00695740">
        <w:rPr>
          <w:b/>
          <w:bCs/>
          <w:color w:val="FFC000"/>
        </w:rPr>
        <w:t>48</w:t>
      </w:r>
      <w:r>
        <w:rPr>
          <w:b/>
          <w:bCs/>
          <w:color w:val="FFC000"/>
        </w:rPr>
        <w:t>%</w:t>
      </w:r>
      <w:r w:rsidR="00730709">
        <w:t xml:space="preserve">) </w:t>
      </w:r>
      <w:r w:rsidR="00695740">
        <w:t xml:space="preserve">× </w:t>
      </w:r>
      <w:r w:rsidR="00695740" w:rsidRPr="000E6880">
        <w:rPr>
          <w:b/>
          <w:bCs/>
          <w:color w:val="00B0F0"/>
        </w:rPr>
        <w:t>3</w:t>
      </w:r>
      <w:r w:rsidR="002E3163">
        <w:rPr>
          <w:b/>
          <w:bCs/>
          <w:color w:val="00B0F0"/>
        </w:rPr>
        <w:t>1</w:t>
      </w:r>
      <w:r w:rsidR="00695740" w:rsidRPr="000E6880">
        <w:rPr>
          <w:b/>
          <w:bCs/>
          <w:color w:val="00B0F0"/>
        </w:rPr>
        <w:t xml:space="preserve"> jours/mois</w:t>
      </w:r>
      <w:r>
        <w:t>).</w:t>
      </w:r>
    </w:p>
    <w:p w14:paraId="26EEFCAE" w14:textId="2BCD0993" w:rsidR="00383D74" w:rsidRPr="00B104F0" w:rsidRDefault="00383D74" w:rsidP="00B104F0">
      <w:pPr>
        <w:pStyle w:val="Titre2"/>
        <w:jc w:val="center"/>
      </w:pPr>
      <w:r w:rsidRPr="00B104F0">
        <w:t>Rapport mensuel</w:t>
      </w:r>
    </w:p>
    <w:p w14:paraId="73F5209E" w14:textId="5785E7B8" w:rsidR="00B104F0" w:rsidRDefault="00B104F0" w:rsidP="00382B79">
      <w:r w:rsidRPr="00B104F0">
        <w:t>Vous devrez permettre aux analystes de produire un rapport mensuel sur les émissions d’une entreprise.</w:t>
      </w:r>
    </w:p>
    <w:p w14:paraId="4717519D" w14:textId="28CFCD4E" w:rsidR="00485F2C" w:rsidRDefault="00485F2C" w:rsidP="00382B79">
      <w:r>
        <w:t>Les rapports doivent être produits pour au moins les 24 derniers mois</w:t>
      </w:r>
      <w:r w:rsidR="007E6488">
        <w:t> :</w:t>
      </w:r>
    </w:p>
    <w:p w14:paraId="1F6A629D" w14:textId="400143C8" w:rsidR="007654A8" w:rsidRDefault="007654A8" w:rsidP="007654A8">
      <w:pPr>
        <w:pStyle w:val="Titre4"/>
      </w:pPr>
      <w:r>
        <w:t>Liste des rapports disponibles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BA7065" w14:paraId="546DA0C9" w14:textId="77777777" w:rsidTr="00BA7065">
        <w:tc>
          <w:tcPr>
            <w:tcW w:w="3132" w:type="dxa"/>
          </w:tcPr>
          <w:p w14:paraId="462AB614" w14:textId="57BADCC4" w:rsidR="00BA7065" w:rsidRPr="00BA7065" w:rsidRDefault="00BA7065" w:rsidP="00382B79">
            <w:pPr>
              <w:rPr>
                <w:b/>
                <w:bCs/>
              </w:rPr>
            </w:pPr>
            <w:r w:rsidRPr="00BA7065">
              <w:rPr>
                <w:b/>
                <w:bCs/>
              </w:rPr>
              <w:t>2020</w:t>
            </w:r>
          </w:p>
        </w:tc>
        <w:tc>
          <w:tcPr>
            <w:tcW w:w="3132" w:type="dxa"/>
          </w:tcPr>
          <w:p w14:paraId="6F97FC32" w14:textId="155A61F6" w:rsidR="00BA7065" w:rsidRPr="00BA7065" w:rsidRDefault="00BA7065" w:rsidP="00382B79">
            <w:pPr>
              <w:rPr>
                <w:b/>
                <w:bCs/>
              </w:rPr>
            </w:pPr>
            <w:r w:rsidRPr="00BA7065">
              <w:rPr>
                <w:b/>
                <w:bCs/>
              </w:rPr>
              <w:t>2021</w:t>
            </w:r>
          </w:p>
        </w:tc>
        <w:tc>
          <w:tcPr>
            <w:tcW w:w="3132" w:type="dxa"/>
          </w:tcPr>
          <w:p w14:paraId="34B30FB0" w14:textId="3286F316" w:rsidR="00BA7065" w:rsidRPr="00BA7065" w:rsidRDefault="00BA7065" w:rsidP="00382B79">
            <w:pPr>
              <w:rPr>
                <w:b/>
                <w:bCs/>
              </w:rPr>
            </w:pPr>
            <w:r w:rsidRPr="00BA7065">
              <w:rPr>
                <w:b/>
                <w:bCs/>
              </w:rPr>
              <w:t>2022</w:t>
            </w:r>
          </w:p>
        </w:tc>
      </w:tr>
      <w:tr w:rsidR="00BA7065" w14:paraId="2E3BD320" w14:textId="77777777" w:rsidTr="00BA7065">
        <w:tc>
          <w:tcPr>
            <w:tcW w:w="3132" w:type="dxa"/>
          </w:tcPr>
          <w:p w14:paraId="0CBE34A9" w14:textId="526E4881" w:rsidR="00BA7065" w:rsidRDefault="00BA7065" w:rsidP="00BA7065"/>
        </w:tc>
        <w:tc>
          <w:tcPr>
            <w:tcW w:w="3132" w:type="dxa"/>
          </w:tcPr>
          <w:p w14:paraId="77F6F19C" w14:textId="6AF910E5" w:rsidR="00BA7065" w:rsidRDefault="00BA7065" w:rsidP="00BA7065">
            <w:r>
              <w:t>Janvier</w:t>
            </w:r>
          </w:p>
        </w:tc>
        <w:tc>
          <w:tcPr>
            <w:tcW w:w="3132" w:type="dxa"/>
          </w:tcPr>
          <w:p w14:paraId="579FF30B" w14:textId="24C96E91" w:rsidR="00BA7065" w:rsidRDefault="00BA7065" w:rsidP="00BA7065">
            <w:r>
              <w:t>Janvier</w:t>
            </w:r>
          </w:p>
        </w:tc>
      </w:tr>
      <w:tr w:rsidR="00BA7065" w14:paraId="00EBB5EE" w14:textId="77777777" w:rsidTr="00BA7065">
        <w:tc>
          <w:tcPr>
            <w:tcW w:w="3132" w:type="dxa"/>
          </w:tcPr>
          <w:p w14:paraId="481F3C34" w14:textId="6BE04BAF" w:rsidR="00BA7065" w:rsidRDefault="00BA7065" w:rsidP="00BA7065"/>
        </w:tc>
        <w:tc>
          <w:tcPr>
            <w:tcW w:w="3132" w:type="dxa"/>
          </w:tcPr>
          <w:p w14:paraId="71557EF7" w14:textId="700A0525" w:rsidR="00BA7065" w:rsidRDefault="00BA7065" w:rsidP="00BA7065">
            <w:r>
              <w:t>Février</w:t>
            </w:r>
          </w:p>
        </w:tc>
        <w:tc>
          <w:tcPr>
            <w:tcW w:w="3132" w:type="dxa"/>
          </w:tcPr>
          <w:p w14:paraId="77F4AF08" w14:textId="5EA37F0D" w:rsidR="00BA7065" w:rsidRDefault="00BA7065" w:rsidP="00BA7065">
            <w:r>
              <w:t>Février</w:t>
            </w:r>
          </w:p>
        </w:tc>
      </w:tr>
      <w:tr w:rsidR="00BA7065" w14:paraId="1C579438" w14:textId="77777777" w:rsidTr="00BA7065">
        <w:tc>
          <w:tcPr>
            <w:tcW w:w="3132" w:type="dxa"/>
          </w:tcPr>
          <w:p w14:paraId="6DAF0DDA" w14:textId="16C47C14" w:rsidR="00BA7065" w:rsidRDefault="00BA7065" w:rsidP="00BA7065"/>
        </w:tc>
        <w:tc>
          <w:tcPr>
            <w:tcW w:w="3132" w:type="dxa"/>
          </w:tcPr>
          <w:p w14:paraId="6FB34C58" w14:textId="4B744245" w:rsidR="00BA7065" w:rsidRDefault="00BA7065" w:rsidP="00BA7065">
            <w:r>
              <w:t>Mars</w:t>
            </w:r>
          </w:p>
        </w:tc>
        <w:tc>
          <w:tcPr>
            <w:tcW w:w="3132" w:type="dxa"/>
          </w:tcPr>
          <w:p w14:paraId="4C84C3C7" w14:textId="414DEF69" w:rsidR="00BA7065" w:rsidRDefault="00BA7065" w:rsidP="00BA7065">
            <w:r>
              <w:t>Mars</w:t>
            </w:r>
          </w:p>
        </w:tc>
      </w:tr>
      <w:tr w:rsidR="00BA7065" w14:paraId="0608DB97" w14:textId="77777777" w:rsidTr="00BA7065">
        <w:tc>
          <w:tcPr>
            <w:tcW w:w="3132" w:type="dxa"/>
          </w:tcPr>
          <w:p w14:paraId="66DDE389" w14:textId="0AD8B65A" w:rsidR="00BA7065" w:rsidRDefault="00BA7065" w:rsidP="00BA7065"/>
        </w:tc>
        <w:tc>
          <w:tcPr>
            <w:tcW w:w="3132" w:type="dxa"/>
          </w:tcPr>
          <w:p w14:paraId="696EEBA3" w14:textId="461F2536" w:rsidR="00BA7065" w:rsidRDefault="00BA7065" w:rsidP="00BA7065">
            <w:r>
              <w:t>Avril</w:t>
            </w:r>
          </w:p>
        </w:tc>
        <w:tc>
          <w:tcPr>
            <w:tcW w:w="3132" w:type="dxa"/>
          </w:tcPr>
          <w:p w14:paraId="5F52C97E" w14:textId="65E6793E" w:rsidR="00BA7065" w:rsidRDefault="00BA7065" w:rsidP="00BA7065">
            <w:r>
              <w:t>Avril</w:t>
            </w:r>
          </w:p>
        </w:tc>
      </w:tr>
      <w:tr w:rsidR="00BA7065" w14:paraId="7F4796B5" w14:textId="77777777" w:rsidTr="00BA7065">
        <w:tc>
          <w:tcPr>
            <w:tcW w:w="3132" w:type="dxa"/>
          </w:tcPr>
          <w:p w14:paraId="1CDCEA27" w14:textId="36D85F2E" w:rsidR="00BA7065" w:rsidRDefault="00BA7065" w:rsidP="00BA7065"/>
        </w:tc>
        <w:tc>
          <w:tcPr>
            <w:tcW w:w="3132" w:type="dxa"/>
          </w:tcPr>
          <w:p w14:paraId="620F99C8" w14:textId="33E361C8" w:rsidR="00BA7065" w:rsidRDefault="00BA7065" w:rsidP="00BA7065">
            <w:r>
              <w:t>Mai</w:t>
            </w:r>
          </w:p>
        </w:tc>
        <w:tc>
          <w:tcPr>
            <w:tcW w:w="3132" w:type="dxa"/>
          </w:tcPr>
          <w:p w14:paraId="0B8B6FAA" w14:textId="55C62127" w:rsidR="00BA7065" w:rsidRDefault="00BA7065" w:rsidP="00BA7065">
            <w:r>
              <w:t>Mai</w:t>
            </w:r>
          </w:p>
        </w:tc>
      </w:tr>
      <w:tr w:rsidR="00BA7065" w14:paraId="34D83A09" w14:textId="77777777" w:rsidTr="00BA7065">
        <w:tc>
          <w:tcPr>
            <w:tcW w:w="3132" w:type="dxa"/>
          </w:tcPr>
          <w:p w14:paraId="786DA8AB" w14:textId="25C8424D" w:rsidR="00BA7065" w:rsidRDefault="00BA7065" w:rsidP="00BA7065"/>
        </w:tc>
        <w:tc>
          <w:tcPr>
            <w:tcW w:w="3132" w:type="dxa"/>
          </w:tcPr>
          <w:p w14:paraId="21EC9F56" w14:textId="352B1557" w:rsidR="00BA7065" w:rsidRDefault="00BA7065" w:rsidP="00BA7065">
            <w:r>
              <w:t>Juin</w:t>
            </w:r>
          </w:p>
        </w:tc>
        <w:tc>
          <w:tcPr>
            <w:tcW w:w="3132" w:type="dxa"/>
          </w:tcPr>
          <w:p w14:paraId="0DA9596C" w14:textId="2CF2C902" w:rsidR="00BA7065" w:rsidRDefault="00BA7065" w:rsidP="00BA7065">
            <w:r>
              <w:t>Juin</w:t>
            </w:r>
          </w:p>
        </w:tc>
      </w:tr>
      <w:tr w:rsidR="00BA7065" w14:paraId="727E18CB" w14:textId="77777777" w:rsidTr="00BA7065">
        <w:tc>
          <w:tcPr>
            <w:tcW w:w="3132" w:type="dxa"/>
          </w:tcPr>
          <w:p w14:paraId="66372EC7" w14:textId="0EA44E9B" w:rsidR="00BA7065" w:rsidRDefault="00BA7065" w:rsidP="00BA7065"/>
        </w:tc>
        <w:tc>
          <w:tcPr>
            <w:tcW w:w="3132" w:type="dxa"/>
          </w:tcPr>
          <w:p w14:paraId="6E0A7B61" w14:textId="50DE82B8" w:rsidR="00BA7065" w:rsidRDefault="00BA7065" w:rsidP="00BA7065">
            <w:r>
              <w:t>Juillet</w:t>
            </w:r>
          </w:p>
        </w:tc>
        <w:tc>
          <w:tcPr>
            <w:tcW w:w="3132" w:type="dxa"/>
          </w:tcPr>
          <w:p w14:paraId="232C3871" w14:textId="79162485" w:rsidR="00BA7065" w:rsidRDefault="00BA7065" w:rsidP="00BA7065">
            <w:r>
              <w:t>Juillet</w:t>
            </w:r>
          </w:p>
        </w:tc>
      </w:tr>
      <w:tr w:rsidR="00BA7065" w14:paraId="49877288" w14:textId="77777777" w:rsidTr="00BA7065">
        <w:tc>
          <w:tcPr>
            <w:tcW w:w="3132" w:type="dxa"/>
          </w:tcPr>
          <w:p w14:paraId="73655EC6" w14:textId="5068407D" w:rsidR="00BA7065" w:rsidRDefault="00BA7065" w:rsidP="00BA7065"/>
        </w:tc>
        <w:tc>
          <w:tcPr>
            <w:tcW w:w="3132" w:type="dxa"/>
          </w:tcPr>
          <w:p w14:paraId="12F1B5E3" w14:textId="0349BE10" w:rsidR="00BA7065" w:rsidRDefault="00BA7065" w:rsidP="00BA7065">
            <w:r>
              <w:t>Août</w:t>
            </w:r>
          </w:p>
        </w:tc>
        <w:tc>
          <w:tcPr>
            <w:tcW w:w="3132" w:type="dxa"/>
          </w:tcPr>
          <w:p w14:paraId="5DDB84ED" w14:textId="6183F781" w:rsidR="00BA7065" w:rsidRDefault="00BA7065" w:rsidP="00BA7065">
            <w:r>
              <w:t>Août</w:t>
            </w:r>
          </w:p>
        </w:tc>
      </w:tr>
      <w:tr w:rsidR="00BA7065" w14:paraId="3F623B80" w14:textId="77777777" w:rsidTr="00BA7065">
        <w:tc>
          <w:tcPr>
            <w:tcW w:w="3132" w:type="dxa"/>
          </w:tcPr>
          <w:p w14:paraId="696D8C18" w14:textId="63EAD154" w:rsidR="00BA7065" w:rsidRDefault="00BA7065" w:rsidP="00BA7065">
            <w:r>
              <w:t>Septembre</w:t>
            </w:r>
          </w:p>
        </w:tc>
        <w:tc>
          <w:tcPr>
            <w:tcW w:w="3132" w:type="dxa"/>
          </w:tcPr>
          <w:p w14:paraId="2AA4589A" w14:textId="3F0D30E6" w:rsidR="00BA7065" w:rsidRDefault="00BA7065" w:rsidP="00BA7065">
            <w:r>
              <w:t>Septembre</w:t>
            </w:r>
          </w:p>
        </w:tc>
        <w:tc>
          <w:tcPr>
            <w:tcW w:w="3132" w:type="dxa"/>
          </w:tcPr>
          <w:p w14:paraId="7DE7C44A" w14:textId="25803D75" w:rsidR="00BA7065" w:rsidRDefault="00BA7065" w:rsidP="00BA7065"/>
        </w:tc>
      </w:tr>
      <w:tr w:rsidR="00BA7065" w14:paraId="3492954B" w14:textId="77777777" w:rsidTr="00BA7065">
        <w:tc>
          <w:tcPr>
            <w:tcW w:w="3132" w:type="dxa"/>
          </w:tcPr>
          <w:p w14:paraId="33DF6418" w14:textId="74C1A627" w:rsidR="00BA7065" w:rsidRDefault="00BA7065" w:rsidP="00BA7065">
            <w:r>
              <w:t>Octobre</w:t>
            </w:r>
          </w:p>
        </w:tc>
        <w:tc>
          <w:tcPr>
            <w:tcW w:w="3132" w:type="dxa"/>
          </w:tcPr>
          <w:p w14:paraId="1C0FC30A" w14:textId="7819AD2A" w:rsidR="00BA7065" w:rsidRDefault="00BA7065" w:rsidP="00BA7065">
            <w:r>
              <w:t>Octobre</w:t>
            </w:r>
          </w:p>
        </w:tc>
        <w:tc>
          <w:tcPr>
            <w:tcW w:w="3132" w:type="dxa"/>
          </w:tcPr>
          <w:p w14:paraId="23BA13B4" w14:textId="43C2753D" w:rsidR="00BA7065" w:rsidRDefault="00BA7065" w:rsidP="00BA7065"/>
        </w:tc>
      </w:tr>
      <w:tr w:rsidR="00BA7065" w14:paraId="666A1C91" w14:textId="77777777" w:rsidTr="00BA7065">
        <w:tc>
          <w:tcPr>
            <w:tcW w:w="3132" w:type="dxa"/>
          </w:tcPr>
          <w:p w14:paraId="55C0693F" w14:textId="017EBB50" w:rsidR="00BA7065" w:rsidRDefault="00BA7065" w:rsidP="00BA7065">
            <w:r>
              <w:t>Novembre</w:t>
            </w:r>
          </w:p>
        </w:tc>
        <w:tc>
          <w:tcPr>
            <w:tcW w:w="3132" w:type="dxa"/>
          </w:tcPr>
          <w:p w14:paraId="51926F47" w14:textId="0C150B4A" w:rsidR="00BA7065" w:rsidRDefault="00BA7065" w:rsidP="00BA7065">
            <w:r>
              <w:t>Novembre</w:t>
            </w:r>
          </w:p>
        </w:tc>
        <w:tc>
          <w:tcPr>
            <w:tcW w:w="3132" w:type="dxa"/>
          </w:tcPr>
          <w:p w14:paraId="79C3C504" w14:textId="161886CB" w:rsidR="00BA7065" w:rsidRDefault="00BA7065" w:rsidP="00BA7065"/>
        </w:tc>
      </w:tr>
      <w:tr w:rsidR="00BA7065" w14:paraId="4A0B6716" w14:textId="77777777" w:rsidTr="00BA7065">
        <w:tc>
          <w:tcPr>
            <w:tcW w:w="3132" w:type="dxa"/>
          </w:tcPr>
          <w:p w14:paraId="11D02ABA" w14:textId="40CAD43E" w:rsidR="00BA7065" w:rsidRDefault="00BA7065" w:rsidP="00BA7065">
            <w:r>
              <w:t>Décembre</w:t>
            </w:r>
          </w:p>
        </w:tc>
        <w:tc>
          <w:tcPr>
            <w:tcW w:w="3132" w:type="dxa"/>
          </w:tcPr>
          <w:p w14:paraId="7A03E860" w14:textId="1E5EC012" w:rsidR="00BA7065" w:rsidRDefault="00BA7065" w:rsidP="00BA7065">
            <w:r>
              <w:t>Décembre</w:t>
            </w:r>
          </w:p>
        </w:tc>
        <w:tc>
          <w:tcPr>
            <w:tcW w:w="3132" w:type="dxa"/>
          </w:tcPr>
          <w:p w14:paraId="02F69DAB" w14:textId="45F7E739" w:rsidR="00BA7065" w:rsidRDefault="00BA7065" w:rsidP="00BA7065"/>
        </w:tc>
      </w:tr>
    </w:tbl>
    <w:p w14:paraId="4E7F10B9" w14:textId="77777777" w:rsidR="00BA7065" w:rsidRDefault="00BA7065" w:rsidP="00382B79"/>
    <w:p w14:paraId="38F64B15" w14:textId="084337B5" w:rsidR="007E6488" w:rsidRDefault="00485F2C" w:rsidP="00382B79">
      <w:r>
        <w:t>Un rapport mensuel d’une entreprise doit afficher les groupes, les équipements de chaque groupe</w:t>
      </w:r>
      <w:r w:rsidR="007E6488">
        <w:t>, les émissions pour chaque équipement et le total pour le groupe et l’équipement</w:t>
      </w:r>
    </w:p>
    <w:p w14:paraId="25BCB007" w14:textId="1C87F42A" w:rsidR="006100EC" w:rsidRPr="00B104F0" w:rsidRDefault="006100EC" w:rsidP="006100EC">
      <w:pPr>
        <w:pStyle w:val="Titre4"/>
      </w:pPr>
      <w:r>
        <w:t>Juillet 2022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6100EC" w:rsidRPr="00777684" w14:paraId="6EE580E7" w14:textId="77777777" w:rsidTr="00777684">
        <w:tc>
          <w:tcPr>
            <w:tcW w:w="4698" w:type="dxa"/>
            <w:shd w:val="clear" w:color="auto" w:fill="E3DED1" w:themeFill="background2"/>
          </w:tcPr>
          <w:p w14:paraId="331F7FB0" w14:textId="68CBA6A1" w:rsidR="006100EC" w:rsidRPr="00777684" w:rsidRDefault="006100EC" w:rsidP="00382B79">
            <w:pPr>
              <w:rPr>
                <w:b/>
                <w:bCs/>
              </w:rPr>
            </w:pPr>
            <w:r w:rsidRPr="00777684">
              <w:rPr>
                <w:b/>
                <w:bCs/>
              </w:rPr>
              <w:t>Groupe administration</w:t>
            </w:r>
          </w:p>
        </w:tc>
        <w:tc>
          <w:tcPr>
            <w:tcW w:w="4698" w:type="dxa"/>
            <w:shd w:val="clear" w:color="auto" w:fill="E3DED1" w:themeFill="background2"/>
          </w:tcPr>
          <w:p w14:paraId="5A7252F6" w14:textId="77777777" w:rsidR="006100EC" w:rsidRPr="00777684" w:rsidRDefault="006100EC" w:rsidP="00382B79">
            <w:pPr>
              <w:rPr>
                <w:b/>
                <w:bCs/>
              </w:rPr>
            </w:pPr>
          </w:p>
        </w:tc>
      </w:tr>
      <w:tr w:rsidR="006100EC" w14:paraId="3B1DA8A4" w14:textId="77777777" w:rsidTr="006100EC">
        <w:tc>
          <w:tcPr>
            <w:tcW w:w="4698" w:type="dxa"/>
          </w:tcPr>
          <w:p w14:paraId="758F2071" w14:textId="54B7F272" w:rsidR="006100EC" w:rsidRDefault="006100EC" w:rsidP="00382B79">
            <w:r>
              <w:t>Bureau administratif</w:t>
            </w:r>
          </w:p>
        </w:tc>
        <w:tc>
          <w:tcPr>
            <w:tcW w:w="4698" w:type="dxa"/>
          </w:tcPr>
          <w:p w14:paraId="0EDC7914" w14:textId="5FC202C4" w:rsidR="006100EC" w:rsidRDefault="00777684" w:rsidP="00382B79">
            <w:r>
              <w:t>0.15</w:t>
            </w:r>
            <w:r w:rsidR="00AC17DD">
              <w:t>1</w:t>
            </w:r>
            <w:r>
              <w:t xml:space="preserve"> t</w:t>
            </w:r>
          </w:p>
        </w:tc>
      </w:tr>
      <w:tr w:rsidR="006100EC" w14:paraId="79FBB4D1" w14:textId="77777777" w:rsidTr="006100EC">
        <w:tc>
          <w:tcPr>
            <w:tcW w:w="4698" w:type="dxa"/>
          </w:tcPr>
          <w:p w14:paraId="7BDB7424" w14:textId="531791DA" w:rsidR="006100EC" w:rsidRDefault="006100EC" w:rsidP="00382B79">
            <w:r>
              <w:t>Voiture de service</w:t>
            </w:r>
          </w:p>
        </w:tc>
        <w:tc>
          <w:tcPr>
            <w:tcW w:w="4698" w:type="dxa"/>
          </w:tcPr>
          <w:p w14:paraId="2D037DBE" w14:textId="30F10759" w:rsidR="006100EC" w:rsidRDefault="00777684" w:rsidP="00382B79">
            <w:r>
              <w:t>0.48</w:t>
            </w:r>
            <w:r w:rsidR="00AC17DD">
              <w:t>4</w:t>
            </w:r>
            <w:r>
              <w:t xml:space="preserve"> t</w:t>
            </w:r>
          </w:p>
        </w:tc>
      </w:tr>
      <w:tr w:rsidR="006100EC" w:rsidRPr="00777684" w14:paraId="5FFE1BDB" w14:textId="77777777" w:rsidTr="006100EC">
        <w:tc>
          <w:tcPr>
            <w:tcW w:w="4698" w:type="dxa"/>
          </w:tcPr>
          <w:p w14:paraId="4854AB1D" w14:textId="67DF7905" w:rsidR="006100EC" w:rsidRPr="00777684" w:rsidRDefault="00777684" w:rsidP="00382B79">
            <w:pPr>
              <w:rPr>
                <w:b/>
                <w:bCs/>
              </w:rPr>
            </w:pPr>
            <w:r w:rsidRPr="00777684">
              <w:rPr>
                <w:b/>
                <w:bCs/>
              </w:rPr>
              <w:t>Total du groupe</w:t>
            </w:r>
          </w:p>
        </w:tc>
        <w:tc>
          <w:tcPr>
            <w:tcW w:w="4698" w:type="dxa"/>
          </w:tcPr>
          <w:p w14:paraId="733554AB" w14:textId="29B3BB9F" w:rsidR="006100EC" w:rsidRPr="00777684" w:rsidRDefault="00777684" w:rsidP="00382B79">
            <w:pPr>
              <w:rPr>
                <w:b/>
                <w:bCs/>
              </w:rPr>
            </w:pPr>
            <w:r>
              <w:rPr>
                <w:b/>
                <w:bCs/>
              </w:rPr>
              <w:t>0.</w:t>
            </w:r>
            <w:r w:rsidR="00B179F9">
              <w:rPr>
                <w:b/>
                <w:bCs/>
              </w:rPr>
              <w:t>63</w:t>
            </w:r>
            <w:r w:rsidR="00AC17DD">
              <w:rPr>
                <w:b/>
                <w:bCs/>
              </w:rPr>
              <w:t>5</w:t>
            </w:r>
            <w:r w:rsidR="00B179F9">
              <w:rPr>
                <w:b/>
                <w:bCs/>
              </w:rPr>
              <w:t xml:space="preserve"> t</w:t>
            </w:r>
          </w:p>
        </w:tc>
      </w:tr>
      <w:tr w:rsidR="006100EC" w:rsidRPr="00777684" w14:paraId="7ECB3616" w14:textId="77777777" w:rsidTr="00777684">
        <w:tc>
          <w:tcPr>
            <w:tcW w:w="4698" w:type="dxa"/>
            <w:shd w:val="clear" w:color="auto" w:fill="E3DED1" w:themeFill="background2"/>
          </w:tcPr>
          <w:p w14:paraId="327F8497" w14:textId="042AB012" w:rsidR="006100EC" w:rsidRPr="00777684" w:rsidRDefault="006100EC" w:rsidP="00382B79">
            <w:pPr>
              <w:rPr>
                <w:b/>
                <w:bCs/>
              </w:rPr>
            </w:pPr>
            <w:r w:rsidRPr="00777684">
              <w:rPr>
                <w:b/>
                <w:bCs/>
              </w:rPr>
              <w:t>Groupe fabrication</w:t>
            </w:r>
          </w:p>
        </w:tc>
        <w:tc>
          <w:tcPr>
            <w:tcW w:w="4698" w:type="dxa"/>
            <w:shd w:val="clear" w:color="auto" w:fill="E3DED1" w:themeFill="background2"/>
          </w:tcPr>
          <w:p w14:paraId="610E5B23" w14:textId="77777777" w:rsidR="006100EC" w:rsidRPr="00777684" w:rsidRDefault="006100EC" w:rsidP="00382B79">
            <w:pPr>
              <w:rPr>
                <w:b/>
                <w:bCs/>
              </w:rPr>
            </w:pPr>
          </w:p>
        </w:tc>
      </w:tr>
      <w:tr w:rsidR="006100EC" w14:paraId="48EAB8B6" w14:textId="77777777" w:rsidTr="006100EC">
        <w:tc>
          <w:tcPr>
            <w:tcW w:w="4698" w:type="dxa"/>
          </w:tcPr>
          <w:p w14:paraId="54E6EB2B" w14:textId="4BE49BDF" w:rsidR="006100EC" w:rsidRDefault="00777684" w:rsidP="00382B79">
            <w:r>
              <w:t>Génératrice</w:t>
            </w:r>
          </w:p>
        </w:tc>
        <w:tc>
          <w:tcPr>
            <w:tcW w:w="4698" w:type="dxa"/>
          </w:tcPr>
          <w:p w14:paraId="39D8B028" w14:textId="2743668D" w:rsidR="006100EC" w:rsidRDefault="00AC17DD" w:rsidP="00382B79">
            <w:r>
              <w:t>4.54 t</w:t>
            </w:r>
          </w:p>
        </w:tc>
      </w:tr>
      <w:tr w:rsidR="006100EC" w14:paraId="184CE315" w14:textId="77777777" w:rsidTr="006100EC">
        <w:tc>
          <w:tcPr>
            <w:tcW w:w="4698" w:type="dxa"/>
          </w:tcPr>
          <w:p w14:paraId="6FBCF136" w14:textId="6DE97667" w:rsidR="006100EC" w:rsidRDefault="00777684" w:rsidP="00382B79">
            <w:proofErr w:type="spellStart"/>
            <w:r>
              <w:t>Machine outil</w:t>
            </w:r>
            <w:proofErr w:type="spellEnd"/>
          </w:p>
        </w:tc>
        <w:tc>
          <w:tcPr>
            <w:tcW w:w="4698" w:type="dxa"/>
          </w:tcPr>
          <w:p w14:paraId="3E7E8F51" w14:textId="157EA104" w:rsidR="006100EC" w:rsidRDefault="00AC17DD" w:rsidP="00382B79">
            <w:r>
              <w:t>11.4 t</w:t>
            </w:r>
          </w:p>
        </w:tc>
      </w:tr>
      <w:tr w:rsidR="006100EC" w14:paraId="5EF7E93D" w14:textId="77777777" w:rsidTr="006100EC">
        <w:tc>
          <w:tcPr>
            <w:tcW w:w="4698" w:type="dxa"/>
          </w:tcPr>
          <w:p w14:paraId="58B04923" w14:textId="5B0ADEF5" w:rsidR="006100EC" w:rsidRDefault="00777684" w:rsidP="00382B79">
            <w:r>
              <w:t>Convoyeur</w:t>
            </w:r>
          </w:p>
        </w:tc>
        <w:tc>
          <w:tcPr>
            <w:tcW w:w="4698" w:type="dxa"/>
          </w:tcPr>
          <w:p w14:paraId="7DF29981" w14:textId="1628C21A" w:rsidR="006100EC" w:rsidRDefault="00AC17DD" w:rsidP="00382B79">
            <w:r>
              <w:t>1.</w:t>
            </w:r>
            <w:r w:rsidR="00EA4BE2">
              <w:t>88</w:t>
            </w:r>
            <w:r>
              <w:t xml:space="preserve"> t</w:t>
            </w:r>
          </w:p>
        </w:tc>
      </w:tr>
      <w:tr w:rsidR="00777684" w:rsidRPr="00777684" w14:paraId="2F9C0989" w14:textId="77777777" w:rsidTr="006100EC">
        <w:tc>
          <w:tcPr>
            <w:tcW w:w="4698" w:type="dxa"/>
          </w:tcPr>
          <w:p w14:paraId="31FCCEA8" w14:textId="39086AF0" w:rsidR="00777684" w:rsidRPr="00777684" w:rsidRDefault="00777684" w:rsidP="00382B79">
            <w:pPr>
              <w:rPr>
                <w:b/>
                <w:bCs/>
              </w:rPr>
            </w:pPr>
            <w:r w:rsidRPr="00777684">
              <w:rPr>
                <w:b/>
                <w:bCs/>
              </w:rPr>
              <w:t>Total du groupe</w:t>
            </w:r>
          </w:p>
        </w:tc>
        <w:tc>
          <w:tcPr>
            <w:tcW w:w="4698" w:type="dxa"/>
          </w:tcPr>
          <w:p w14:paraId="4A90C9D7" w14:textId="21CE460E" w:rsidR="00777684" w:rsidRPr="00777684" w:rsidRDefault="00EA4BE2" w:rsidP="00382B79">
            <w:pPr>
              <w:rPr>
                <w:b/>
                <w:bCs/>
              </w:rPr>
            </w:pPr>
            <w:r>
              <w:rPr>
                <w:b/>
                <w:bCs/>
              </w:rPr>
              <w:t>17.82 t</w:t>
            </w:r>
          </w:p>
        </w:tc>
      </w:tr>
      <w:tr w:rsidR="00777684" w:rsidRPr="00777684" w14:paraId="1BC10FD0" w14:textId="77777777" w:rsidTr="00777684">
        <w:tc>
          <w:tcPr>
            <w:tcW w:w="4698" w:type="dxa"/>
            <w:shd w:val="clear" w:color="auto" w:fill="E3DED1" w:themeFill="background2"/>
          </w:tcPr>
          <w:p w14:paraId="3FC332EC" w14:textId="3F6E7ADA" w:rsidR="00777684" w:rsidRPr="00777684" w:rsidRDefault="00777684" w:rsidP="00382B79">
            <w:pPr>
              <w:rPr>
                <w:b/>
                <w:bCs/>
              </w:rPr>
            </w:pPr>
            <w:r w:rsidRPr="00777684">
              <w:rPr>
                <w:b/>
                <w:bCs/>
              </w:rPr>
              <w:t>Total de l’entreprise</w:t>
            </w:r>
          </w:p>
        </w:tc>
        <w:tc>
          <w:tcPr>
            <w:tcW w:w="4698" w:type="dxa"/>
            <w:shd w:val="clear" w:color="auto" w:fill="E3DED1" w:themeFill="background2"/>
          </w:tcPr>
          <w:p w14:paraId="3E8552AA" w14:textId="7CD5399F" w:rsidR="00777684" w:rsidRPr="00777684" w:rsidRDefault="00EA4BE2" w:rsidP="00382B79">
            <w:pPr>
              <w:rPr>
                <w:b/>
                <w:bCs/>
              </w:rPr>
            </w:pPr>
            <w:r>
              <w:rPr>
                <w:b/>
                <w:bCs/>
              </w:rPr>
              <w:t>18.5 t</w:t>
            </w:r>
          </w:p>
        </w:tc>
      </w:tr>
    </w:tbl>
    <w:p w14:paraId="521F1306" w14:textId="5676C6FD" w:rsidR="007E6488" w:rsidRDefault="007E6488" w:rsidP="00382B79"/>
    <w:p w14:paraId="0521378D" w14:textId="33FEDD86" w:rsidR="00142ABA" w:rsidRDefault="00142ABA" w:rsidP="00382B79">
      <w:r>
        <w:t>Il serait intéressant aussi d’indiquer les valeurs permettant d’obtenir ces résultats-là.</w:t>
      </w:r>
    </w:p>
    <w:p w14:paraId="3BA344E6" w14:textId="262DD71E" w:rsidR="00142ABA" w:rsidRDefault="00142ABA" w:rsidP="00142ABA">
      <w:pPr>
        <w:pStyle w:val="Titre3"/>
      </w:pPr>
      <w:r>
        <w:t>Saisie des mesures</w:t>
      </w:r>
    </w:p>
    <w:p w14:paraId="3C000533" w14:textId="33AF4FEC" w:rsidR="00142ABA" w:rsidRPr="00B104F0" w:rsidRDefault="00142ABA" w:rsidP="00382B79">
      <w:r>
        <w:t xml:space="preserve">L’analyste doit pouvoir inscrire les mesures </w:t>
      </w:r>
      <w:r w:rsidR="002763C0">
        <w:t xml:space="preserve">mensuelles de chaque équipement pour permettre le calcul d’un rapport. L’analyste doit donc choisir un mois, voir la liste des </w:t>
      </w:r>
      <w:r w:rsidR="002763C0">
        <w:lastRenderedPageBreak/>
        <w:t xml:space="preserve">équipements et inscrire une mesure </w:t>
      </w:r>
      <w:r w:rsidR="003919B4">
        <w:t>de l’usage de l’équipement</w:t>
      </w:r>
      <w:r w:rsidR="00DA2709">
        <w:t>. Ces valeurs doivent être enregistrées et utilisées ensuite pour la production du rapport.</w:t>
      </w:r>
    </w:p>
    <w:sectPr w:rsidR="00142ABA" w:rsidRPr="00B104F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3760"/>
    <w:multiLevelType w:val="hybridMultilevel"/>
    <w:tmpl w:val="9E7EEC1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14D6A"/>
    <w:multiLevelType w:val="hybridMultilevel"/>
    <w:tmpl w:val="57FA921E"/>
    <w:lvl w:ilvl="0" w:tplc="6B005452">
      <w:start w:val="420"/>
      <w:numFmt w:val="bullet"/>
      <w:lvlText w:val="-"/>
      <w:lvlJc w:val="left"/>
      <w:pPr>
        <w:ind w:left="405" w:hanging="360"/>
      </w:pPr>
      <w:rPr>
        <w:rFonts w:ascii="Century Gothic" w:eastAsiaTheme="minorHAnsi" w:hAnsi="Century Gothic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64501265">
    <w:abstractNumId w:val="0"/>
  </w:num>
  <w:num w:numId="2" w16cid:durableId="1278639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D4"/>
    <w:rsid w:val="000400DF"/>
    <w:rsid w:val="000529DD"/>
    <w:rsid w:val="0008115D"/>
    <w:rsid w:val="000848EB"/>
    <w:rsid w:val="000A6790"/>
    <w:rsid w:val="000E44B5"/>
    <w:rsid w:val="000E6880"/>
    <w:rsid w:val="001224BD"/>
    <w:rsid w:val="00133B46"/>
    <w:rsid w:val="00137597"/>
    <w:rsid w:val="00142ABA"/>
    <w:rsid w:val="00156857"/>
    <w:rsid w:val="0016037E"/>
    <w:rsid w:val="001A3437"/>
    <w:rsid w:val="001C4417"/>
    <w:rsid w:val="001F1A99"/>
    <w:rsid w:val="001F6367"/>
    <w:rsid w:val="00226490"/>
    <w:rsid w:val="00250D4B"/>
    <w:rsid w:val="002763C0"/>
    <w:rsid w:val="00290744"/>
    <w:rsid w:val="0029384A"/>
    <w:rsid w:val="00296AE7"/>
    <w:rsid w:val="002979E2"/>
    <w:rsid w:val="002E3163"/>
    <w:rsid w:val="002F3B38"/>
    <w:rsid w:val="00342F84"/>
    <w:rsid w:val="00351BEE"/>
    <w:rsid w:val="00367816"/>
    <w:rsid w:val="003822D4"/>
    <w:rsid w:val="00382B79"/>
    <w:rsid w:val="00383D74"/>
    <w:rsid w:val="00386C75"/>
    <w:rsid w:val="003919B4"/>
    <w:rsid w:val="00396AD7"/>
    <w:rsid w:val="003C26C5"/>
    <w:rsid w:val="00400F4E"/>
    <w:rsid w:val="00415C9F"/>
    <w:rsid w:val="00485F2C"/>
    <w:rsid w:val="00487887"/>
    <w:rsid w:val="00490369"/>
    <w:rsid w:val="004958DA"/>
    <w:rsid w:val="004B39D6"/>
    <w:rsid w:val="004F335D"/>
    <w:rsid w:val="00500D72"/>
    <w:rsid w:val="005034FD"/>
    <w:rsid w:val="00524D5F"/>
    <w:rsid w:val="00565DD5"/>
    <w:rsid w:val="00566D9D"/>
    <w:rsid w:val="005B6EC1"/>
    <w:rsid w:val="005B72F8"/>
    <w:rsid w:val="005B7AC8"/>
    <w:rsid w:val="005C2F0B"/>
    <w:rsid w:val="005D1B71"/>
    <w:rsid w:val="005E2B91"/>
    <w:rsid w:val="0060663D"/>
    <w:rsid w:val="006075B9"/>
    <w:rsid w:val="006100EC"/>
    <w:rsid w:val="00656839"/>
    <w:rsid w:val="00664AA1"/>
    <w:rsid w:val="00664D9C"/>
    <w:rsid w:val="006825F6"/>
    <w:rsid w:val="00695740"/>
    <w:rsid w:val="006A4886"/>
    <w:rsid w:val="006E68B5"/>
    <w:rsid w:val="00730709"/>
    <w:rsid w:val="0074552D"/>
    <w:rsid w:val="007654A8"/>
    <w:rsid w:val="00770FA9"/>
    <w:rsid w:val="00777684"/>
    <w:rsid w:val="00783821"/>
    <w:rsid w:val="00791832"/>
    <w:rsid w:val="007A12A6"/>
    <w:rsid w:val="007B6D7E"/>
    <w:rsid w:val="007C0C38"/>
    <w:rsid w:val="007D2FA2"/>
    <w:rsid w:val="007E6488"/>
    <w:rsid w:val="007F4203"/>
    <w:rsid w:val="008332DE"/>
    <w:rsid w:val="008339DD"/>
    <w:rsid w:val="00850520"/>
    <w:rsid w:val="008844CE"/>
    <w:rsid w:val="008A3188"/>
    <w:rsid w:val="008C52E0"/>
    <w:rsid w:val="008D77FA"/>
    <w:rsid w:val="008D7936"/>
    <w:rsid w:val="008E554A"/>
    <w:rsid w:val="00900370"/>
    <w:rsid w:val="00940F72"/>
    <w:rsid w:val="009513DF"/>
    <w:rsid w:val="0097291E"/>
    <w:rsid w:val="009854EC"/>
    <w:rsid w:val="009C1480"/>
    <w:rsid w:val="009E11EA"/>
    <w:rsid w:val="009E3F77"/>
    <w:rsid w:val="009E5D06"/>
    <w:rsid w:val="009F260C"/>
    <w:rsid w:val="00A04E02"/>
    <w:rsid w:val="00A52145"/>
    <w:rsid w:val="00AA7B32"/>
    <w:rsid w:val="00AC17DD"/>
    <w:rsid w:val="00AC38C1"/>
    <w:rsid w:val="00AF6214"/>
    <w:rsid w:val="00B104F0"/>
    <w:rsid w:val="00B179F9"/>
    <w:rsid w:val="00B47955"/>
    <w:rsid w:val="00B739BC"/>
    <w:rsid w:val="00B83C55"/>
    <w:rsid w:val="00BA7065"/>
    <w:rsid w:val="00BE7875"/>
    <w:rsid w:val="00BF056C"/>
    <w:rsid w:val="00BF1B6D"/>
    <w:rsid w:val="00C322AC"/>
    <w:rsid w:val="00C50C54"/>
    <w:rsid w:val="00C546C5"/>
    <w:rsid w:val="00C9360E"/>
    <w:rsid w:val="00CC21FB"/>
    <w:rsid w:val="00CC29AC"/>
    <w:rsid w:val="00CC7D2F"/>
    <w:rsid w:val="00CF3849"/>
    <w:rsid w:val="00D00A52"/>
    <w:rsid w:val="00D02BF3"/>
    <w:rsid w:val="00D6454B"/>
    <w:rsid w:val="00D76653"/>
    <w:rsid w:val="00D812FC"/>
    <w:rsid w:val="00DA2709"/>
    <w:rsid w:val="00DE36F4"/>
    <w:rsid w:val="00DE744F"/>
    <w:rsid w:val="00DF432D"/>
    <w:rsid w:val="00E15092"/>
    <w:rsid w:val="00E21DA7"/>
    <w:rsid w:val="00E3016B"/>
    <w:rsid w:val="00E45DE8"/>
    <w:rsid w:val="00E54EF0"/>
    <w:rsid w:val="00E56BBA"/>
    <w:rsid w:val="00E60FE8"/>
    <w:rsid w:val="00E9211A"/>
    <w:rsid w:val="00EA2087"/>
    <w:rsid w:val="00EA4BE2"/>
    <w:rsid w:val="00EB1317"/>
    <w:rsid w:val="00EB362B"/>
    <w:rsid w:val="00ED0633"/>
    <w:rsid w:val="00F011BC"/>
    <w:rsid w:val="00F14FC3"/>
    <w:rsid w:val="00F20134"/>
    <w:rsid w:val="00F93406"/>
    <w:rsid w:val="00FE41DD"/>
    <w:rsid w:val="00FE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45255"/>
  <w15:chartTrackingRefBased/>
  <w15:docId w15:val="{D7443992-319A-401F-BDC2-0C02EE69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653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5E2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6653"/>
    <w:pPr>
      <w:keepNext/>
      <w:keepLines/>
      <w:shd w:val="clear" w:color="auto" w:fill="D1E7A8" w:themeFill="accent2" w:themeFillTint="66"/>
      <w:spacing w:before="40" w:after="0"/>
      <w:outlineLvl w:val="1"/>
    </w:pPr>
    <w:rPr>
      <w:rFonts w:asciiTheme="majorHAnsi" w:eastAsiaTheme="majorEastAsia" w:hAnsiTheme="majorHAnsi" w:cstheme="majorBidi"/>
      <w:b/>
      <w:color w:val="3E762A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76653"/>
    <w:pPr>
      <w:keepNext/>
      <w:keepLines/>
      <w:shd w:val="clear" w:color="auto" w:fill="F2F5D7" w:themeFill="accent3" w:themeFillTint="33"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100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2B91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76653"/>
    <w:rPr>
      <w:rFonts w:asciiTheme="majorHAnsi" w:eastAsiaTheme="majorEastAsia" w:hAnsiTheme="majorHAnsi" w:cstheme="majorBidi"/>
      <w:b/>
      <w:color w:val="3E762A" w:themeColor="accent1" w:themeShade="BF"/>
      <w:sz w:val="26"/>
      <w:szCs w:val="26"/>
      <w:shd w:val="clear" w:color="auto" w:fill="D1E7A8" w:themeFill="accent2" w:themeFillTint="66"/>
    </w:rPr>
  </w:style>
  <w:style w:type="paragraph" w:styleId="Paragraphedeliste">
    <w:name w:val="List Paragraph"/>
    <w:basedOn w:val="Normal"/>
    <w:uiPriority w:val="34"/>
    <w:qFormat/>
    <w:rsid w:val="00F011BC"/>
    <w:pPr>
      <w:ind w:left="720"/>
      <w:contextualSpacing/>
    </w:pPr>
  </w:style>
  <w:style w:type="table" w:styleId="Grilledutableau">
    <w:name w:val="Table Grid"/>
    <w:basedOn w:val="TableauNormal"/>
    <w:uiPriority w:val="39"/>
    <w:rsid w:val="00250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D76653"/>
    <w:rPr>
      <w:rFonts w:asciiTheme="majorHAnsi" w:eastAsiaTheme="majorEastAsia" w:hAnsiTheme="majorHAnsi" w:cstheme="majorBidi"/>
      <w:color w:val="294E1C" w:themeColor="accent1" w:themeShade="7F"/>
      <w:szCs w:val="24"/>
      <w:shd w:val="clear" w:color="auto" w:fill="F2F5D7" w:themeFill="accent3" w:themeFillTint="33"/>
    </w:rPr>
  </w:style>
  <w:style w:type="table" w:styleId="TableauGrille5Fonc-Accentuation1">
    <w:name w:val="Grid Table 5 Dark Accent 1"/>
    <w:basedOn w:val="TableauNormal"/>
    <w:uiPriority w:val="50"/>
    <w:rsid w:val="00E45D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paragraph" w:styleId="Sansinterligne">
    <w:name w:val="No Spacing"/>
    <w:uiPriority w:val="1"/>
    <w:qFormat/>
    <w:rsid w:val="007D2FA2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6100EC"/>
    <w:rPr>
      <w:rFonts w:asciiTheme="majorHAnsi" w:eastAsiaTheme="majorEastAsia" w:hAnsiTheme="majorHAnsi" w:cstheme="majorBidi"/>
      <w:i/>
      <w:iCs/>
      <w:color w:val="3E762A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rin">
  <a:themeElements>
    <a:clrScheme name="Vert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Brin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rin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E8CCA7FB9EAE4D9797B5C1381037FC" ma:contentTypeVersion="11" ma:contentTypeDescription="Crée un document." ma:contentTypeScope="" ma:versionID="5ae164b79fb9bba8a04176262b4a34a3">
  <xsd:schema xmlns:xsd="http://www.w3.org/2001/XMLSchema" xmlns:xs="http://www.w3.org/2001/XMLSchema" xmlns:p="http://schemas.microsoft.com/office/2006/metadata/properties" xmlns:ns2="83ab252c-4429-4d3c-b354-a26bac7f17c4" xmlns:ns3="e091f7e1-9a56-4269-b406-4a46f84a612c" targetNamespace="http://schemas.microsoft.com/office/2006/metadata/properties" ma:root="true" ma:fieldsID="efcbbca7887b4c33964c412b7622119d" ns2:_="" ns3:_="">
    <xsd:import namespace="83ab252c-4429-4d3c-b354-a26bac7f17c4"/>
    <xsd:import namespace="e091f7e1-9a56-4269-b406-4a46f84a6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ab252c-4429-4d3c-b354-a26bac7f17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1f7e1-9a56-4269-b406-4a46f84a612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6d4c32f9-8395-44a7-8440-731b09d1a3a3}" ma:internalName="TaxCatchAll" ma:showField="CatchAllData" ma:web="e091f7e1-9a56-4269-b406-4a46f84a61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3ab252c-4429-4d3c-b354-a26bac7f17c4">
      <Terms xmlns="http://schemas.microsoft.com/office/infopath/2007/PartnerControls"/>
    </lcf76f155ced4ddcb4097134ff3c332f>
    <TaxCatchAll xmlns="e091f7e1-9a56-4269-b406-4a46f84a612c" xsi:nil="true"/>
  </documentManagement>
</p:properties>
</file>

<file path=customXml/itemProps1.xml><?xml version="1.0" encoding="utf-8"?>
<ds:datastoreItem xmlns:ds="http://schemas.openxmlformats.org/officeDocument/2006/customXml" ds:itemID="{3B893C6F-BB6C-41EE-87E7-2B6144C380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ab252c-4429-4d3c-b354-a26bac7f17c4"/>
    <ds:schemaRef ds:uri="e091f7e1-9a56-4269-b406-4a46f84a6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04F496-84C0-4D00-8637-768A436611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6DABE2-17AA-4997-A4AD-A999EC9C8882}">
  <ds:schemaRefs>
    <ds:schemaRef ds:uri="http://schemas.microsoft.com/office/2006/metadata/properties"/>
    <ds:schemaRef ds:uri="http://schemas.microsoft.com/office/infopath/2007/PartnerControls"/>
    <ds:schemaRef ds:uri="83ab252c-4429-4d3c-b354-a26bac7f17c4"/>
    <ds:schemaRef ds:uri="e091f7e1-9a56-4269-b406-4a46f84a612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6</Pages>
  <Words>1165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vincent.duval</dc:creator>
  <cp:keywords/>
  <dc:description/>
  <cp:lastModifiedBy>Turgeon Valérie</cp:lastModifiedBy>
  <cp:revision>142</cp:revision>
  <dcterms:created xsi:type="dcterms:W3CDTF">2021-09-30T22:47:00Z</dcterms:created>
  <dcterms:modified xsi:type="dcterms:W3CDTF">2023-11-10T20:39:00Z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0x0101004FE47F9AD058E14B8D70A50962D7F04D</vt:lpwstr>
  </property>
</Properties>
</file>