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n°07</w:t>
      </w:r>
    </w:p>
    <w:p w:rsidR="00000000" w:rsidDel="00000000" w:rsidP="00000000" w:rsidRDefault="00000000" w:rsidRPr="00000000" w14:paraId="00000002">
      <w:pPr>
        <w:widowControl w:val="0"/>
        <w:ind w:left="60" w:firstLine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60" w:firstLine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hebdomadaire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à distance (google meet)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Frédéric Urien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/12/2021 à 20h00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Informations sur les fonctionnalités du site web (partie administrateur et modérateur 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les droits aux utilisateurs autant </w:t>
      </w:r>
      <w:r w:rsidDel="00000000" w:rsidR="00000000" w:rsidRPr="00000000">
        <w:rPr>
          <w:rtl w:val="0"/>
        </w:rPr>
        <w:t xml:space="preserve">qu’administrateur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étapes pour importer un fichier csv avec les documents 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validation des documents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gestion des documents du site web 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étapes pour créer des articles sur le site web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xxoo4je4trgh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Préparer pour les réunions du 3 et 10 décembre 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des questions pour les utilisateurs pendant les réunions 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le formulaire d’inscription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