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9B3F" w14:textId="45DDD3B9" w:rsidR="006B630B" w:rsidRPr="00B953F5" w:rsidRDefault="006B630B" w:rsidP="00B953F5">
      <w:pPr>
        <w:pStyle w:val="Titres"/>
      </w:pPr>
    </w:p>
    <w:p w14:paraId="39A8D436" w14:textId="65F5139E" w:rsidR="006B630B" w:rsidRPr="00BD5423" w:rsidRDefault="006B630B" w:rsidP="006B630B">
      <w:pPr>
        <w:pStyle w:val="Titres"/>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t>Rapport de Projet de Fin d’Années</w:t>
      </w:r>
    </w:p>
    <w:p w14:paraId="00440A9F" w14:textId="0BFE31C6" w:rsidR="006B630B" w:rsidRPr="00BD5423" w:rsidRDefault="006B630B" w:rsidP="006B630B">
      <w:pPr>
        <w:pStyle w:val="Titres"/>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t>Pour l’obtention du Diplôme de l’ESISA</w:t>
      </w:r>
    </w:p>
    <w:p w14:paraId="213C7614" w14:textId="278A9D7B" w:rsidR="006B630B" w:rsidRDefault="006B630B" w:rsidP="006B630B">
      <w:pPr>
        <w:tabs>
          <w:tab w:val="left" w:pos="4120"/>
        </w:tabs>
      </w:pPr>
      <w:r>
        <w:tab/>
      </w:r>
    </w:p>
    <w:p w14:paraId="291E3B4F" w14:textId="2B8E0D64" w:rsidR="006B630B" w:rsidRDefault="004928BF" w:rsidP="004928BF">
      <w:pPr>
        <w:tabs>
          <w:tab w:val="left" w:pos="4120"/>
        </w:tabs>
        <w:jc w:val="center"/>
        <w:rPr>
          <w:rFonts w:ascii="Segoe UI" w:hAnsi="Segoe UI" w:cs="Segoe UI"/>
          <w:sz w:val="52"/>
          <w:szCs w:val="52"/>
        </w:rPr>
      </w:pPr>
      <w:r w:rsidRPr="004928BF">
        <w:rPr>
          <w:rFonts w:ascii="Segoe UI" w:hAnsi="Segoe UI" w:cs="Segoe UI"/>
          <w:sz w:val="52"/>
          <w:szCs w:val="52"/>
        </w:rPr>
        <w:t>BAC+3(</w:t>
      </w:r>
      <w:r w:rsidRPr="004928BF">
        <w:rPr>
          <w:rFonts w:ascii="Segoe UI" w:hAnsi="Segoe UI" w:cs="Segoe UI"/>
          <w:i/>
          <w:iCs/>
          <w:sz w:val="52"/>
          <w:szCs w:val="52"/>
        </w:rPr>
        <w:t xml:space="preserve">Filière : </w:t>
      </w:r>
      <w:r w:rsidRPr="004928BF">
        <w:rPr>
          <w:rFonts w:ascii="Segoe UI" w:hAnsi="Segoe UI" w:cs="Segoe UI"/>
          <w:sz w:val="52"/>
          <w:szCs w:val="52"/>
        </w:rPr>
        <w:t>Ingénierie logicielle)</w:t>
      </w:r>
    </w:p>
    <w:p w14:paraId="5C55FA4D" w14:textId="5C56DBC6" w:rsidR="004928BF" w:rsidRDefault="004928BF" w:rsidP="004928BF">
      <w:pPr>
        <w:tabs>
          <w:tab w:val="center" w:pos="4680"/>
        </w:tabs>
        <w:jc w:val="center"/>
        <w:rPr>
          <w:rFonts w:ascii="Segoe UI" w:hAnsi="Segoe UI" w:cs="Segoe UI"/>
          <w:sz w:val="40"/>
          <w:szCs w:val="40"/>
        </w:rPr>
      </w:pPr>
      <w:r w:rsidRPr="004928BF">
        <w:rPr>
          <w:rFonts w:ascii="Segoe UI" w:hAnsi="Segoe UI" w:cs="Segoe UI"/>
          <w:sz w:val="40"/>
          <w:szCs w:val="40"/>
        </w:rPr>
        <w:t>Sous le thème</w:t>
      </w:r>
    </w:p>
    <w:p w14:paraId="126B1B93" w14:textId="0B3A1A51" w:rsidR="004928BF" w:rsidRDefault="004928BF" w:rsidP="004928BF">
      <w:pPr>
        <w:tabs>
          <w:tab w:val="center" w:pos="4680"/>
        </w:tabs>
        <w:jc w:val="center"/>
        <w:rPr>
          <w:rFonts w:ascii="Segoe UI" w:hAnsi="Segoe UI" w:cs="Segoe UI"/>
          <w:sz w:val="52"/>
          <w:szCs w:val="52"/>
        </w:rPr>
      </w:pPr>
      <w:r>
        <w:rPr>
          <w:rFonts w:ascii="Segoe UI" w:hAnsi="Segoe UI" w:cs="Segoe UI"/>
          <w:noProof/>
          <w:sz w:val="52"/>
          <w:szCs w:val="52"/>
        </w:rPr>
        <mc:AlternateContent>
          <mc:Choice Requires="wps">
            <w:drawing>
              <wp:anchor distT="0" distB="0" distL="114300" distR="114300" simplePos="0" relativeHeight="251659264" behindDoc="0" locked="0" layoutInCell="1" allowOverlap="1" wp14:anchorId="00201966" wp14:editId="4F1051AB">
                <wp:simplePos x="0" y="0"/>
                <wp:positionH relativeFrom="margin">
                  <wp:align>left</wp:align>
                </wp:positionH>
                <wp:positionV relativeFrom="paragraph">
                  <wp:posOffset>168205</wp:posOffset>
                </wp:positionV>
                <wp:extent cx="5884545" cy="1285058"/>
                <wp:effectExtent l="0" t="0" r="20955" b="10795"/>
                <wp:wrapNone/>
                <wp:docPr id="2126421160" name="Rectangle: Rounded Corners 7"/>
                <wp:cNvGraphicFramePr/>
                <a:graphic xmlns:a="http://schemas.openxmlformats.org/drawingml/2006/main">
                  <a:graphicData uri="http://schemas.microsoft.com/office/word/2010/wordprocessingShape">
                    <wps:wsp>
                      <wps:cNvSpPr/>
                      <wps:spPr>
                        <a:xfrm>
                          <a:off x="0" y="0"/>
                          <a:ext cx="5884545" cy="1285058"/>
                        </a:xfrm>
                        <a:prstGeom prst="roundRect">
                          <a:avLst/>
                        </a:prstGeom>
                        <a:ln/>
                      </wps:spPr>
                      <wps:style>
                        <a:lnRef idx="2">
                          <a:schemeClr val="dk1"/>
                        </a:lnRef>
                        <a:fillRef idx="1">
                          <a:schemeClr val="lt1"/>
                        </a:fillRef>
                        <a:effectRef idx="0">
                          <a:schemeClr val="dk1"/>
                        </a:effectRef>
                        <a:fontRef idx="minor">
                          <a:schemeClr val="dk1"/>
                        </a:fontRef>
                      </wps:style>
                      <wps:txb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201966" id="Rectangle: Rounded Corners 7" o:spid="_x0000_s1026" style="position:absolute;left:0;text-align:left;margin-left:0;margin-top:13.25pt;width:463.35pt;height:101.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" fillcolor="white [3201]" strokecolor="black [3200]" strokeweight="1pt">
                <v:stroke joinstyle="miter"/>
                <v:textbo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v:textbox>
                <w10:wrap anchorx="margin"/>
              </v:roundrect>
            </w:pict>
          </mc:Fallback>
        </mc:AlternateContent>
      </w:r>
    </w:p>
    <w:p w14:paraId="1550CA40" w14:textId="1FEDB1CA" w:rsidR="004928BF" w:rsidRDefault="004928BF" w:rsidP="004928BF">
      <w:pPr>
        <w:jc w:val="center"/>
        <w:rPr>
          <w:rFonts w:ascii="Segoe UI" w:hAnsi="Segoe UI" w:cs="Segoe UI"/>
          <w:sz w:val="40"/>
          <w:szCs w:val="40"/>
        </w:rPr>
      </w:pPr>
    </w:p>
    <w:p w14:paraId="79D73275" w14:textId="77777777" w:rsidR="004928BF" w:rsidRDefault="004928BF" w:rsidP="004928BF">
      <w:pPr>
        <w:rPr>
          <w:rFonts w:ascii="Segoe UI" w:hAnsi="Segoe UI" w:cs="Segoe UI"/>
          <w:sz w:val="40"/>
          <w:szCs w:val="40"/>
        </w:rPr>
      </w:pPr>
    </w:p>
    <w:p w14:paraId="68338434" w14:textId="77777777" w:rsidR="00BD5423" w:rsidRDefault="00BD5423" w:rsidP="004928BF">
      <w:pPr>
        <w:rPr>
          <w:rFonts w:ascii="Segoe UI" w:hAnsi="Segoe UI" w:cs="Segoe UI"/>
          <w:sz w:val="40"/>
          <w:szCs w:val="40"/>
        </w:rPr>
      </w:pPr>
    </w:p>
    <w:p w14:paraId="5424A8F3" w14:textId="06569005" w:rsidR="004928BF" w:rsidRDefault="00B953F5" w:rsidP="004928BF">
      <w:pPr>
        <w:rPr>
          <w:rFonts w:ascii="Calibri" w:hAnsi="Calibri" w:cs="Calibri"/>
          <w:b/>
          <w:bCs/>
          <w:sz w:val="28"/>
          <w:szCs w:val="28"/>
        </w:rPr>
      </w:pPr>
      <w:r w:rsidRPr="00B953F5">
        <w:rPr>
          <w:rFonts w:ascii="Calibri" w:hAnsi="Calibri" w:cs="Calibri"/>
          <w:b/>
          <w:bCs/>
          <w:sz w:val="28"/>
          <w:szCs w:val="28"/>
          <w:u w:val="single"/>
        </w:rPr>
        <w:t>Réalisé</w:t>
      </w:r>
      <w:r w:rsidR="004928BF" w:rsidRPr="00B953F5">
        <w:rPr>
          <w:rFonts w:ascii="Calibri" w:hAnsi="Calibri" w:cs="Calibri"/>
          <w:b/>
          <w:bCs/>
          <w:sz w:val="28"/>
          <w:szCs w:val="28"/>
          <w:u w:val="single"/>
        </w:rPr>
        <w:t xml:space="preserve"> par </w:t>
      </w:r>
      <w:r w:rsidR="004928BF">
        <w:rPr>
          <w:rFonts w:ascii="Calibri" w:hAnsi="Calibri" w:cs="Calibri"/>
          <w:b/>
          <w:bCs/>
          <w:sz w:val="28"/>
          <w:szCs w:val="28"/>
        </w:rPr>
        <w:t xml:space="preserve">:                                                                          </w:t>
      </w:r>
      <w:r w:rsidR="004928BF" w:rsidRPr="00B953F5">
        <w:rPr>
          <w:rFonts w:ascii="Calibri" w:hAnsi="Calibri" w:cs="Calibri"/>
          <w:b/>
          <w:bCs/>
          <w:sz w:val="28"/>
          <w:szCs w:val="28"/>
          <w:u w:val="single"/>
        </w:rPr>
        <w:t>Encadr</w:t>
      </w:r>
      <w:r w:rsidRPr="00B953F5">
        <w:rPr>
          <w:rFonts w:ascii="Calibri" w:hAnsi="Calibri" w:cs="Calibri"/>
          <w:b/>
          <w:bCs/>
          <w:sz w:val="28"/>
          <w:szCs w:val="28"/>
          <w:u w:val="single"/>
        </w:rPr>
        <w:t>é</w:t>
      </w:r>
      <w:r w:rsidR="004928BF" w:rsidRPr="00B953F5">
        <w:rPr>
          <w:rFonts w:ascii="Calibri" w:hAnsi="Calibri" w:cs="Calibri"/>
          <w:b/>
          <w:bCs/>
          <w:sz w:val="28"/>
          <w:szCs w:val="28"/>
          <w:u w:val="single"/>
        </w:rPr>
        <w:t xml:space="preserve"> par :</w:t>
      </w:r>
    </w:p>
    <w:p w14:paraId="2451E8FB" w14:textId="007F4410" w:rsidR="004928BF" w:rsidRDefault="004928BF" w:rsidP="004928BF">
      <w:pPr>
        <w:rPr>
          <w:rFonts w:ascii="Calibri" w:hAnsi="Calibri" w:cs="Calibri"/>
          <w:sz w:val="28"/>
          <w:szCs w:val="28"/>
        </w:rPr>
      </w:pPr>
      <w:r>
        <w:rPr>
          <w:rFonts w:ascii="Calibri" w:hAnsi="Calibri" w:cs="Calibri"/>
          <w:sz w:val="28"/>
          <w:szCs w:val="28"/>
        </w:rPr>
        <w:t xml:space="preserve">BOURKKADI IDRISSI TAHA                                                   Mr. BOULEALAM </w:t>
      </w:r>
      <w:r w:rsidR="00B953F5">
        <w:rPr>
          <w:rFonts w:ascii="Calibri" w:hAnsi="Calibri" w:cs="Calibri"/>
          <w:sz w:val="28"/>
          <w:szCs w:val="28"/>
        </w:rPr>
        <w:t>Chafik</w:t>
      </w:r>
    </w:p>
    <w:p w14:paraId="3BE64419" w14:textId="662B40D4" w:rsidR="00B953F5" w:rsidRPr="00B953F5" w:rsidRDefault="00B953F5" w:rsidP="004928BF">
      <w:pPr>
        <w:rPr>
          <w:rFonts w:ascii="Calibri" w:hAnsi="Calibri" w:cs="Calibri"/>
          <w:sz w:val="28"/>
          <w:szCs w:val="28"/>
          <w:lang w:val="en-US"/>
        </w:rPr>
      </w:pPr>
      <w:r w:rsidRPr="00B953F5">
        <w:rPr>
          <w:rFonts w:ascii="Calibri" w:hAnsi="Calibri" w:cs="Calibri"/>
          <w:sz w:val="28"/>
          <w:szCs w:val="28"/>
          <w:lang w:val="en-US"/>
        </w:rPr>
        <w:t>ZMAROU Hamza                                                                   Mr. IRAQI HOUSSAINI M</w:t>
      </w:r>
      <w:r>
        <w:rPr>
          <w:rFonts w:ascii="Calibri" w:hAnsi="Calibri" w:cs="Calibri"/>
          <w:sz w:val="28"/>
          <w:szCs w:val="28"/>
          <w:lang w:val="en-US"/>
        </w:rPr>
        <w:t>ehdi</w:t>
      </w:r>
    </w:p>
    <w:p w14:paraId="5B7B688D" w14:textId="29C1FCEE" w:rsidR="00B953F5" w:rsidRDefault="00B953F5" w:rsidP="004928BF">
      <w:pPr>
        <w:rPr>
          <w:rFonts w:ascii="Calibri" w:hAnsi="Calibri" w:cs="Calibri"/>
          <w:sz w:val="28"/>
          <w:szCs w:val="28"/>
        </w:rPr>
      </w:pPr>
      <w:r>
        <w:rPr>
          <w:rFonts w:ascii="Calibri" w:hAnsi="Calibri" w:cs="Calibri"/>
          <w:sz w:val="28"/>
          <w:szCs w:val="28"/>
        </w:rPr>
        <w:t xml:space="preserve">SGHIRI Salah Eddine                                                               </w:t>
      </w:r>
    </w:p>
    <w:p w14:paraId="7B28AF93" w14:textId="77777777" w:rsidR="00B953F5" w:rsidRDefault="00B953F5" w:rsidP="00B953F5">
      <w:pPr>
        <w:rPr>
          <w:rFonts w:ascii="Calibri" w:hAnsi="Calibri" w:cs="Calibri"/>
          <w:sz w:val="28"/>
          <w:szCs w:val="28"/>
        </w:rPr>
      </w:pPr>
    </w:p>
    <w:p w14:paraId="10CDA4C5" w14:textId="77777777" w:rsidR="00B953F5" w:rsidRDefault="00B953F5" w:rsidP="00B953F5">
      <w:pPr>
        <w:rPr>
          <w:rFonts w:ascii="Calibri" w:hAnsi="Calibri" w:cs="Calibri"/>
          <w:b/>
          <w:bCs/>
          <w:sz w:val="28"/>
          <w:szCs w:val="28"/>
        </w:rPr>
      </w:pPr>
      <w:r>
        <w:rPr>
          <w:rFonts w:ascii="Calibri" w:hAnsi="Calibri" w:cs="Calibri"/>
          <w:b/>
          <w:bCs/>
          <w:sz w:val="28"/>
          <w:szCs w:val="28"/>
          <w:u w:val="single"/>
        </w:rPr>
        <w:t>Membre du Jury</w:t>
      </w:r>
      <w:r w:rsidRPr="00B953F5">
        <w:rPr>
          <w:rFonts w:ascii="Calibri" w:hAnsi="Calibri" w:cs="Calibri"/>
          <w:b/>
          <w:bCs/>
          <w:sz w:val="28"/>
          <w:szCs w:val="28"/>
          <w:u w:val="single"/>
        </w:rPr>
        <w:t> </w:t>
      </w:r>
      <w:r>
        <w:rPr>
          <w:rFonts w:ascii="Calibri" w:hAnsi="Calibri" w:cs="Calibri"/>
          <w:b/>
          <w:bCs/>
          <w:sz w:val="28"/>
          <w:szCs w:val="28"/>
        </w:rPr>
        <w:t>:</w:t>
      </w:r>
    </w:p>
    <w:p w14:paraId="734069C4" w14:textId="732F1101" w:rsidR="00B953F5" w:rsidRDefault="00B953F5" w:rsidP="00B953F5">
      <w:pPr>
        <w:rPr>
          <w:rFonts w:ascii="Calibri" w:hAnsi="Calibri" w:cs="Calibri"/>
          <w:b/>
          <w:bCs/>
          <w:sz w:val="28"/>
          <w:szCs w:val="28"/>
        </w:rPr>
      </w:pPr>
      <w:r>
        <w:rPr>
          <w:rFonts w:ascii="Calibri" w:hAnsi="Calibri" w:cs="Calibri"/>
          <w:sz w:val="28"/>
          <w:szCs w:val="28"/>
        </w:rPr>
        <w:t>Mr.</w:t>
      </w:r>
      <w:r>
        <w:rPr>
          <w:rFonts w:ascii="Calibri" w:hAnsi="Calibri" w:cs="Calibri"/>
          <w:b/>
          <w:bCs/>
          <w:sz w:val="28"/>
          <w:szCs w:val="28"/>
        </w:rPr>
        <w:t xml:space="preserve">                                                                          </w:t>
      </w:r>
    </w:p>
    <w:p w14:paraId="46178D6E" w14:textId="77777777" w:rsidR="00B953F5" w:rsidRDefault="00B953F5" w:rsidP="00B953F5">
      <w:pPr>
        <w:rPr>
          <w:rFonts w:ascii="Calibri" w:hAnsi="Calibri" w:cs="Calibri"/>
          <w:b/>
          <w:bCs/>
          <w:sz w:val="28"/>
          <w:szCs w:val="28"/>
        </w:rPr>
      </w:pPr>
    </w:p>
    <w:p w14:paraId="6FFF2983" w14:textId="77777777" w:rsidR="00B953F5" w:rsidRDefault="00B953F5" w:rsidP="00B953F5">
      <w:pPr>
        <w:rPr>
          <w:rFonts w:ascii="Calibri" w:hAnsi="Calibri" w:cs="Calibri"/>
          <w:b/>
          <w:bCs/>
          <w:sz w:val="28"/>
          <w:szCs w:val="28"/>
        </w:rPr>
      </w:pPr>
    </w:p>
    <w:p w14:paraId="30DF0117" w14:textId="77777777" w:rsidR="00B953F5" w:rsidRDefault="00B953F5" w:rsidP="00B953F5">
      <w:pPr>
        <w:rPr>
          <w:rFonts w:ascii="Calibri" w:hAnsi="Calibri" w:cs="Calibri"/>
          <w:b/>
          <w:bCs/>
          <w:sz w:val="28"/>
          <w:szCs w:val="28"/>
        </w:rPr>
      </w:pPr>
    </w:p>
    <w:p w14:paraId="5D968281" w14:textId="77777777" w:rsidR="00B953F5" w:rsidRDefault="00B953F5" w:rsidP="00B953F5">
      <w:pPr>
        <w:rPr>
          <w:rFonts w:ascii="Calibri" w:hAnsi="Calibri" w:cs="Calibri"/>
          <w:sz w:val="28"/>
          <w:szCs w:val="28"/>
        </w:rPr>
      </w:pPr>
    </w:p>
    <w:p w14:paraId="61101549" w14:textId="77777777" w:rsidR="00610A60" w:rsidRDefault="00610A60" w:rsidP="00B953F5">
      <w:pPr>
        <w:rPr>
          <w:rFonts w:ascii="Calibri" w:hAnsi="Calibri" w:cs="Calibri"/>
          <w:sz w:val="28"/>
          <w:szCs w:val="28"/>
        </w:rPr>
      </w:pPr>
    </w:p>
    <w:p w14:paraId="55708070" w14:textId="3046A9CC" w:rsidR="00B953F5" w:rsidRPr="007823CA" w:rsidRDefault="007823CA" w:rsidP="007823CA">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DÉDICACES</w:t>
      </w:r>
    </w:p>
    <w:p w14:paraId="1E918B22" w14:textId="77777777" w:rsidR="007823CA" w:rsidRDefault="007823CA" w:rsidP="007823CA">
      <w:pPr>
        <w:rPr>
          <w:rFonts w:ascii="Segoe UI" w:hAnsi="Segoe UI" w:cs="Segoe UI"/>
          <w:b/>
          <w:bCs/>
          <w:color w:val="0F4761" w:themeColor="accent1" w:themeShade="BF"/>
          <w:sz w:val="40"/>
          <w:szCs w:val="40"/>
          <w:u w:val="single"/>
        </w:rPr>
      </w:pPr>
    </w:p>
    <w:p w14:paraId="2EAF2EBC" w14:textId="77777777" w:rsidR="007823CA" w:rsidRPr="00610A60" w:rsidRDefault="007823CA" w:rsidP="00BD5423">
      <w:pPr>
        <w:rPr>
          <w:rFonts w:ascii="Segoe UI" w:hAnsi="Segoe UI" w:cs="Segoe UI"/>
        </w:rPr>
      </w:pPr>
      <w:r w:rsidRPr="00610A60">
        <w:rPr>
          <w:rFonts w:ascii="Segoe UI" w:hAnsi="Segoe UI" w:cs="Segoe UI"/>
        </w:rPr>
        <w:t>À mes chers parents,</w:t>
      </w:r>
    </w:p>
    <w:p w14:paraId="11A0B745" w14:textId="77777777" w:rsidR="007823CA" w:rsidRPr="00610A60" w:rsidRDefault="007823CA" w:rsidP="00BD5423">
      <w:pPr>
        <w:rPr>
          <w:rFonts w:ascii="Segoe UI" w:hAnsi="Segoe UI" w:cs="Segoe UI"/>
        </w:rPr>
      </w:pPr>
      <w:r w:rsidRPr="00610A60">
        <w:rPr>
          <w:rFonts w:ascii="Segoe UI" w:hAnsi="Segoe UI" w:cs="Segoe UI"/>
        </w:rPr>
        <w:t>Pour leur amour inconditionnel, leur soutien sans faille et leurs sacrifices silencieux qui m'ont permis d'arriver jusqu'ici. Aucun mot ne saurait exprimer ma gratitude envers vous. Ce travail est le fruit de votre confiance et de vos encouragements constants. Que ce modeste rapport soit le témoignage de mon profond respect et de mon amour éternel.</w:t>
      </w:r>
    </w:p>
    <w:p w14:paraId="7A954424" w14:textId="77777777" w:rsidR="007823CA" w:rsidRPr="00610A60" w:rsidRDefault="007823CA" w:rsidP="00BD5423">
      <w:pPr>
        <w:rPr>
          <w:rFonts w:ascii="Segoe UI" w:hAnsi="Segoe UI" w:cs="Segoe UI"/>
        </w:rPr>
      </w:pPr>
    </w:p>
    <w:p w14:paraId="5DA384CB" w14:textId="77777777" w:rsidR="007823CA" w:rsidRPr="00610A60" w:rsidRDefault="007823CA" w:rsidP="00BD5423">
      <w:pPr>
        <w:rPr>
          <w:rFonts w:ascii="Segoe UI" w:hAnsi="Segoe UI" w:cs="Segoe UI"/>
        </w:rPr>
      </w:pPr>
      <w:r w:rsidRPr="00610A60">
        <w:rPr>
          <w:rFonts w:ascii="Segoe UI" w:hAnsi="Segoe UI" w:cs="Segoe UI"/>
        </w:rPr>
        <w:t>À mes amis et coéquipiers de l'équipe Souki,</w:t>
      </w:r>
    </w:p>
    <w:p w14:paraId="652A3876" w14:textId="77777777" w:rsidR="007823CA" w:rsidRPr="00610A60" w:rsidRDefault="007823CA" w:rsidP="00BD5423">
      <w:pPr>
        <w:rPr>
          <w:rFonts w:ascii="Segoe UI" w:hAnsi="Segoe UI" w:cs="Segoe UI"/>
        </w:rPr>
      </w:pPr>
      <w:r w:rsidRPr="00610A60">
        <w:rPr>
          <w:rFonts w:ascii="Segoe UI" w:hAnsi="Segoe UI" w:cs="Segoe UI"/>
        </w:rPr>
        <w:t>Pour ces nuits de travail partagées, ces idées échangées, ces doutes surmontés ensemble et cette énergie qui n'a jamais faibli. Ce projet n'aurait jamais vu le jour sans votre engagement, votre créativité et votre esprit d'équipe. Merci d'avoir cru en cette vision et de l'avoir construite avec moi, ligne de code après ligne de code.</w:t>
      </w:r>
    </w:p>
    <w:p w14:paraId="56761B94" w14:textId="77777777" w:rsidR="007823CA" w:rsidRPr="00610A60" w:rsidRDefault="007823CA" w:rsidP="00BD5423">
      <w:pPr>
        <w:rPr>
          <w:rFonts w:ascii="Segoe UI" w:hAnsi="Segoe UI" w:cs="Segoe UI"/>
        </w:rPr>
      </w:pPr>
    </w:p>
    <w:p w14:paraId="3EB8AC88" w14:textId="1FC4E31B" w:rsidR="007823CA" w:rsidRPr="00610A60" w:rsidRDefault="007823CA" w:rsidP="00BD5423">
      <w:pPr>
        <w:rPr>
          <w:rFonts w:ascii="Segoe UI" w:hAnsi="Segoe UI" w:cs="Segoe UI"/>
        </w:rPr>
      </w:pPr>
      <w:r w:rsidRPr="00610A60">
        <w:rPr>
          <w:rFonts w:ascii="Segoe UI" w:hAnsi="Segoe UI" w:cs="Segoe UI"/>
        </w:rPr>
        <w:t>À tous ceux qui, de près ou de loin, ont contribué à la réussite de ce projet.</w:t>
      </w:r>
    </w:p>
    <w:p w14:paraId="1D535A8C" w14:textId="77777777" w:rsidR="00056A8D" w:rsidRDefault="00056A8D" w:rsidP="007823CA">
      <w:pPr>
        <w:jc w:val="center"/>
        <w:rPr>
          <w:rFonts w:ascii="Calibri" w:hAnsi="Calibri" w:cs="Calibri"/>
          <w:sz w:val="28"/>
          <w:szCs w:val="28"/>
        </w:rPr>
      </w:pPr>
    </w:p>
    <w:p w14:paraId="303AE4CE" w14:textId="77777777" w:rsidR="00056A8D" w:rsidRDefault="00056A8D" w:rsidP="007823CA">
      <w:pPr>
        <w:jc w:val="center"/>
        <w:rPr>
          <w:rFonts w:ascii="Calibri" w:hAnsi="Calibri" w:cs="Calibri"/>
          <w:sz w:val="28"/>
          <w:szCs w:val="28"/>
        </w:rPr>
      </w:pPr>
    </w:p>
    <w:p w14:paraId="37D046B5" w14:textId="77777777" w:rsidR="00610A60" w:rsidRDefault="00610A60" w:rsidP="007823CA">
      <w:pPr>
        <w:jc w:val="center"/>
        <w:rPr>
          <w:rFonts w:ascii="Calibri" w:hAnsi="Calibri" w:cs="Calibri"/>
          <w:sz w:val="28"/>
          <w:szCs w:val="28"/>
        </w:rPr>
      </w:pPr>
    </w:p>
    <w:p w14:paraId="1358259F" w14:textId="77777777" w:rsidR="00056A8D" w:rsidRDefault="00056A8D" w:rsidP="00056A8D">
      <w:pPr>
        <w:rPr>
          <w:rFonts w:ascii="Calibri" w:hAnsi="Calibri" w:cs="Calibri"/>
          <w:sz w:val="28"/>
          <w:szCs w:val="28"/>
        </w:rPr>
      </w:pPr>
    </w:p>
    <w:p w14:paraId="3F9F4343" w14:textId="77777777" w:rsidR="00610A60" w:rsidRDefault="00610A60" w:rsidP="00056A8D">
      <w:pPr>
        <w:rPr>
          <w:rFonts w:ascii="Calibri" w:hAnsi="Calibri" w:cs="Calibri"/>
          <w:sz w:val="28"/>
          <w:szCs w:val="28"/>
        </w:rPr>
      </w:pPr>
    </w:p>
    <w:p w14:paraId="0AB39A52" w14:textId="6AF720FA" w:rsidR="00056A8D" w:rsidRDefault="00056A8D" w:rsidP="00056A8D">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 xml:space="preserve">REMERCIEMENTS </w:t>
      </w:r>
    </w:p>
    <w:p w14:paraId="63AC38EB" w14:textId="77777777" w:rsidR="00056A8D" w:rsidRPr="00056A8D" w:rsidRDefault="00056A8D" w:rsidP="00056A8D">
      <w:pPr>
        <w:pStyle w:val="Titres"/>
        <w:jc w:val="left"/>
        <w:rPr>
          <w:rFonts w:ascii="Segoe UI" w:hAnsi="Segoe UI" w:cs="Segoe UI"/>
          <w:b w:val="0"/>
          <w:color w:val="0F4761" w:themeColor="accent1" w:themeShade="BF"/>
          <w14:textFill>
            <w14:solidFill>
              <w14:schemeClr w14:val="accent1">
                <w14:lumMod w14:val="75000"/>
                <w14:lumMod w14:val="75000"/>
                <w14:lumOff w14:val="25000"/>
              </w14:schemeClr>
            </w14:solidFill>
          </w14:textFill>
        </w:rPr>
      </w:pPr>
    </w:p>
    <w:p w14:paraId="37B6DAA8" w14:textId="1B63703F"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Nous tenons à exprimer notre profonde gratitude à toutes les personnes qui ont contribué, de près ou de loin, à la réalisation de ce projet.</w:t>
      </w:r>
    </w:p>
    <w:p w14:paraId="38600D04" w14:textId="77777777" w:rsidR="00610A60" w:rsidRPr="00610A60" w:rsidRDefault="00610A60" w:rsidP="00056A8D">
      <w:pPr>
        <w:pStyle w:val="Titres"/>
        <w:jc w:val="left"/>
        <w:rPr>
          <w:rFonts w:ascii="Segoe UI" w:hAnsi="Segoe UI" w:cs="Segoe UI"/>
          <w:b w:val="0"/>
          <w:color w:val="404040" w:themeColor="text1" w:themeTint="BF"/>
        </w:rPr>
      </w:pPr>
    </w:p>
    <w:p w14:paraId="7F46219D" w14:textId="45E01A38"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Nos Encadrants de projets :</w:t>
      </w:r>
    </w:p>
    <w:p w14:paraId="4CAA94CA" w14:textId="02E247F6"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Nos premiers remerciements s'adressent à nos </w:t>
      </w:r>
      <w:r w:rsidRPr="00610A60">
        <w:rPr>
          <w:rFonts w:ascii="Segoe UI" w:hAnsi="Segoe UI" w:cs="Segoe UI"/>
          <w:b w:val="0"/>
          <w:bCs/>
          <w:color w:val="404040" w:themeColor="text1" w:themeTint="BF"/>
        </w:rPr>
        <w:t>encadrants de projet</w:t>
      </w:r>
      <w:r w:rsidR="004D3886">
        <w:rPr>
          <w:rFonts w:ascii="Segoe UI" w:hAnsi="Segoe UI" w:cs="Segoe UI"/>
          <w:b w:val="0"/>
          <w:bCs/>
          <w:color w:val="404040" w:themeColor="text1" w:themeTint="BF"/>
        </w:rPr>
        <w:t xml:space="preserve">, </w:t>
      </w:r>
      <w:r w:rsidR="004D3886" w:rsidRPr="004D3886">
        <w:rPr>
          <w:rFonts w:ascii="Segoe UI" w:hAnsi="Segoe UI" w:cs="Segoe UI"/>
          <w:color w:val="404040" w:themeColor="text1" w:themeTint="BF"/>
        </w:rPr>
        <w:t>IRAQI HOUSSAINI Mehdi</w:t>
      </w:r>
      <w:r w:rsidR="004D3886">
        <w:rPr>
          <w:rFonts w:ascii="Segoe UI" w:hAnsi="Segoe UI" w:cs="Segoe UI"/>
          <w:b w:val="0"/>
          <w:color w:val="404040" w:themeColor="text1" w:themeTint="BF"/>
        </w:rPr>
        <w:t xml:space="preserve"> et </w:t>
      </w:r>
      <w:r w:rsidR="004D3886" w:rsidRPr="004D3886">
        <w:rPr>
          <w:rFonts w:ascii="Segoe UI" w:hAnsi="Segoe UI" w:cs="Segoe UI"/>
          <w:bCs/>
          <w:color w:val="404040" w:themeColor="text1" w:themeTint="BF"/>
        </w:rPr>
        <w:t>BOULEALAM Chafik</w:t>
      </w:r>
      <w:r w:rsidRPr="00610A60">
        <w:rPr>
          <w:rFonts w:ascii="Segoe UI" w:hAnsi="Segoe UI" w:cs="Segoe UI"/>
          <w:b w:val="0"/>
          <w:color w:val="404040" w:themeColor="text1" w:themeTint="BF"/>
        </w:rPr>
        <w:t xml:space="preserve"> pour leur disponibilité, leurs conseils avisés et leur accompagnement précieux tout au long de ce travail. Leur expertise et leurs retours constructifs ont été déterminants dans la réussite de ce projet.</w:t>
      </w:r>
    </w:p>
    <w:p w14:paraId="416DE759" w14:textId="77777777" w:rsidR="00056A8D" w:rsidRPr="00610A60" w:rsidRDefault="00056A8D" w:rsidP="00056A8D">
      <w:pPr>
        <w:pStyle w:val="Titres"/>
        <w:jc w:val="left"/>
        <w:rPr>
          <w:rFonts w:ascii="Segoe UI" w:hAnsi="Segoe UI" w:cs="Segoe UI"/>
          <w:b w:val="0"/>
          <w:color w:val="404040" w:themeColor="text1" w:themeTint="BF"/>
        </w:rPr>
      </w:pPr>
    </w:p>
    <w:p w14:paraId="336C6E92" w14:textId="24E851EC" w:rsidR="00056A8D" w:rsidRPr="00610A60" w:rsidRDefault="00610A60"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Membres de Jury</w:t>
      </w:r>
      <w:r w:rsidR="00056A8D" w:rsidRPr="00610A60">
        <w:rPr>
          <w:rFonts w:ascii="Segoe UI" w:hAnsi="Segoe UI" w:cs="Segoe UI"/>
          <w:bCs/>
          <w:color w:val="404040" w:themeColor="text1" w:themeTint="BF"/>
          <w:u w:val="single"/>
        </w:rPr>
        <w:t> :</w:t>
      </w:r>
    </w:p>
    <w:p w14:paraId="744F2DAD" w14:textId="7259E65A" w:rsidR="00056A8D" w:rsidRPr="00610A60" w:rsidRDefault="00610A60"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Nous adressons également nos sincères remerciements aux </w:t>
      </w:r>
      <w:r w:rsidRPr="00610A60">
        <w:rPr>
          <w:rFonts w:ascii="Segoe UI" w:hAnsi="Segoe UI" w:cs="Segoe UI"/>
          <w:b w:val="0"/>
          <w:bCs/>
          <w:color w:val="404040" w:themeColor="text1" w:themeTint="BF"/>
        </w:rPr>
        <w:t>membres du jury</w:t>
      </w:r>
      <w:r w:rsidRPr="00610A60">
        <w:rPr>
          <w:rFonts w:ascii="Segoe UI" w:hAnsi="Segoe UI" w:cs="Segoe UI"/>
          <w:b w:val="0"/>
          <w:color w:val="404040" w:themeColor="text1" w:themeTint="BF"/>
        </w:rPr>
        <w:t>, pour l'intérêt qu'ils portent à ce travail ainsi que pour le temps consacré à son évaluation.</w:t>
      </w:r>
    </w:p>
    <w:p w14:paraId="0D0A6AEC" w14:textId="77777777" w:rsidR="00610A60" w:rsidRPr="00610A60" w:rsidRDefault="00610A60" w:rsidP="00056A8D">
      <w:pPr>
        <w:pStyle w:val="Titres"/>
        <w:jc w:val="left"/>
        <w:rPr>
          <w:rFonts w:ascii="Segoe UI" w:hAnsi="Segoe UI" w:cs="Segoe UI"/>
          <w:b w:val="0"/>
          <w:color w:val="404040" w:themeColor="text1" w:themeTint="BF"/>
        </w:rPr>
      </w:pPr>
    </w:p>
    <w:p w14:paraId="183A38AE" w14:textId="4789AD1C"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Mon institution :</w:t>
      </w:r>
    </w:p>
    <w:p w14:paraId="09763650" w14:textId="5CC5DA20" w:rsidR="00610A60"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Nos remerciements vont aussi à notre institution, l'ESISA</w:t>
      </w:r>
      <w:r w:rsidR="004D3886">
        <w:rPr>
          <w:rFonts w:ascii="Segoe UI" w:hAnsi="Segoe UI" w:cs="Segoe UI"/>
          <w:b w:val="0"/>
          <w:color w:val="404040" w:themeColor="text1" w:themeTint="BF"/>
        </w:rPr>
        <w:t xml:space="preserve">, </w:t>
      </w:r>
      <w:r w:rsidR="004D3886" w:rsidRPr="004D3886">
        <w:rPr>
          <w:rFonts w:ascii="Segoe UI" w:hAnsi="Segoe UI" w:cs="Segoe UI"/>
          <w:b w:val="0"/>
          <w:color w:val="404040" w:themeColor="text1" w:themeTint="BF"/>
        </w:rPr>
        <w:t>Ecole Supérieure d’Ingénierie en Sciences Appliquées</w:t>
      </w:r>
      <w:r w:rsidRPr="00610A60">
        <w:rPr>
          <w:rFonts w:ascii="Segoe UI" w:hAnsi="Segoe UI" w:cs="Segoe UI"/>
          <w:b w:val="0"/>
          <w:color w:val="404040" w:themeColor="text1" w:themeTint="BF"/>
        </w:rPr>
        <w:t xml:space="preserve">, pour la qualité de la formation dispensée et l'excellence de son corps professoral, dont l'exigence et le savoir-faire nous ont permis d'acquérir les compétences nécessaires à la conception de ce projet. Nous tenons en particulier à remercier </w:t>
      </w:r>
      <w:r w:rsidRPr="009E069D">
        <w:rPr>
          <w:rFonts w:ascii="Segoe UI" w:hAnsi="Segoe UI" w:cs="Segoe UI"/>
          <w:bCs/>
          <w:color w:val="404040" w:themeColor="text1" w:themeTint="BF"/>
        </w:rPr>
        <w:t>Monsieur MEKOUAR Khalid</w:t>
      </w:r>
      <w:r w:rsidRPr="00610A60">
        <w:rPr>
          <w:rFonts w:ascii="Segoe UI" w:hAnsi="Segoe UI" w:cs="Segoe UI"/>
          <w:b w:val="0"/>
          <w:color w:val="404040" w:themeColor="text1" w:themeTint="BF"/>
        </w:rPr>
        <w:t>, Président, Fondateur et Directeur de l'ESISA, pour sa vision et son engagement constant en faveur de l'excellence académique et de l'innovation, qui font de l'ESISA un environnement propice à la réussite de ses étudiants.</w:t>
      </w:r>
    </w:p>
    <w:p w14:paraId="24C7AA87" w14:textId="77777777" w:rsidR="00610A60" w:rsidRPr="00610A60" w:rsidRDefault="00610A60" w:rsidP="00610A60">
      <w:pPr>
        <w:pStyle w:val="Titres"/>
        <w:jc w:val="left"/>
        <w:rPr>
          <w:rFonts w:ascii="Segoe UI" w:hAnsi="Segoe UI" w:cs="Segoe UI"/>
          <w:b w:val="0"/>
          <w:color w:val="404040" w:themeColor="text1" w:themeTint="BF"/>
        </w:rPr>
      </w:pPr>
    </w:p>
    <w:p w14:paraId="0BB209E4" w14:textId="170E51C3" w:rsidR="00056A8D"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Enfin, nous remercions toutes les personnes qui, par leur soutien, leurs encouragements ou leur disponibilité, ont contribué à la réalisation de ce projet.</w:t>
      </w:r>
    </w:p>
    <w:p w14:paraId="31D59C45" w14:textId="77777777" w:rsidR="00610A60" w:rsidRDefault="00610A60" w:rsidP="00610A60">
      <w:pPr>
        <w:rPr>
          <w:rFonts w:ascii="Segoe UI" w:hAnsi="Segoe UI" w:cs="Segoe UI"/>
          <w:color w:val="000000" w:themeColor="text1"/>
        </w:rPr>
      </w:pPr>
    </w:p>
    <w:p w14:paraId="362D76E7" w14:textId="46434F62" w:rsidR="00610A60" w:rsidRPr="007823CA" w:rsidRDefault="00610A60" w:rsidP="00610A60">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R</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SUM</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p>
    <w:p w14:paraId="598936BC" w14:textId="77777777" w:rsidR="00610A60" w:rsidRDefault="00610A60" w:rsidP="00610A60">
      <w:pPr>
        <w:tabs>
          <w:tab w:val="left" w:pos="4097"/>
        </w:tabs>
        <w:rPr>
          <w:rFonts w:ascii="Segoe UI" w:hAnsi="Segoe UI" w:cs="Segoe UI"/>
        </w:rPr>
      </w:pPr>
    </w:p>
    <w:p w14:paraId="6676ECB3" w14:textId="1F49492E" w:rsidR="00610A60" w:rsidRDefault="00610A60" w:rsidP="00610A60">
      <w:pPr>
        <w:tabs>
          <w:tab w:val="left" w:pos="4097"/>
        </w:tabs>
        <w:rPr>
          <w:rFonts w:ascii="Segoe UI" w:hAnsi="Segoe UI" w:cs="Segoe UI"/>
        </w:rPr>
      </w:pPr>
      <w:r w:rsidRPr="00610A60">
        <w:rPr>
          <w:rFonts w:ascii="Segoe UI" w:hAnsi="Segoe UI" w:cs="Segoe UI"/>
        </w:rPr>
        <w:t>Ce rapport présente le développement de SOUKI, une plateforme web innovante facilitant l'achat de fruits et légumes frais en circuit court au Maroc. Face au compromis imposé aux consommateurs urbains entre les souks traditionnels chronophages et les applications de livraison généralistes aux marges élevées, notre solution propose une approche moderne, économique et adaptée au contexte marocain.</w:t>
      </w:r>
    </w:p>
    <w:p w14:paraId="299CF3C4" w14:textId="77777777" w:rsidR="00610A60" w:rsidRPr="00610A60" w:rsidRDefault="00610A60" w:rsidP="00610A60">
      <w:pPr>
        <w:tabs>
          <w:tab w:val="left" w:pos="4097"/>
        </w:tabs>
        <w:rPr>
          <w:rFonts w:ascii="Segoe UI" w:hAnsi="Segoe UI" w:cs="Segoe UI"/>
        </w:rPr>
      </w:pPr>
    </w:p>
    <w:p w14:paraId="7B6384D0" w14:textId="77777777" w:rsidR="00610A60" w:rsidRDefault="00610A60" w:rsidP="00610A60">
      <w:pPr>
        <w:tabs>
          <w:tab w:val="left" w:pos="4097"/>
        </w:tabs>
        <w:rPr>
          <w:rFonts w:ascii="Segoe UI" w:hAnsi="Segoe UI" w:cs="Segoe UI"/>
        </w:rPr>
      </w:pPr>
      <w:r w:rsidRPr="00610A60">
        <w:rPr>
          <w:rFonts w:ascii="Segoe UI" w:hAnsi="Segoe UI" w:cs="Segoe UI"/>
        </w:rPr>
        <w:t>Le projet repose sur une architecture full-stack composée d’une API FastAPI/Python, d’une interface web Next.js/React et d’une application mobile React Native/Expo. Le code met en œuvre l’authentification JWT, la vérification OTP, la connexion Google, la gestion multi-rôles, le catalogue, le panier, le checkout, l’agrégation Just-In-Time, le dispatch logistique, le suivi des livraisons, l’espace fournisseur, les réclamations et SoukiWallet. La commande intelligente combine Gemini pour l’analyse texte/audio et un modèle Gemma-2 distant avec un jeu de compositions local comme mécanisme de repli.</w:t>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
    <w:p w14:paraId="1178117B" w14:textId="3118E276" w:rsidR="00610A60" w:rsidRPr="00610A60" w:rsidRDefault="00610A60" w:rsidP="00610A60">
      <w:pPr>
        <w:tabs>
          <w:tab w:val="left" w:pos="4097"/>
        </w:tabs>
        <w:rPr>
          <w:rFonts w:ascii="Segoe UI" w:hAnsi="Segoe UI" w:cs="Segoe UI"/>
        </w:rPr>
      </w:pPr>
    </w:p>
    <w:p w14:paraId="33EB0E15" w14:textId="77777777" w:rsidR="00610A60" w:rsidRDefault="00610A60" w:rsidP="00610A60">
      <w:pPr>
        <w:tabs>
          <w:tab w:val="left" w:pos="4097"/>
        </w:tabs>
        <w:rPr>
          <w:rFonts w:ascii="Segoe UI" w:hAnsi="Segoe UI" w:cs="Segoe UI"/>
        </w:rPr>
      </w:pPr>
      <w:r w:rsidRPr="00610A60">
        <w:rPr>
          <w:rFonts w:ascii="Segoe UI" w:hAnsi="Segoe UI" w:cs="Segoe UI"/>
        </w:rPr>
        <w:t>L’analyse du dépôt confirme la cohérence technique de cette architecture et l’existence de tests automatisés ciblant notamment le JIT, la logistique, le cloisonnement et les fournisseurs. Les résultats financiers et les performances en production ne disposant pas encore de mesures auditables dans le dépôt, ils sont présentés comme des hypothèses de travail nécessitant une validation expérimentale.</w:t>
      </w:r>
    </w:p>
    <w:p w14:paraId="77A3F446" w14:textId="77777777" w:rsidR="00610A60" w:rsidRPr="00610A60" w:rsidRDefault="00610A60" w:rsidP="00610A60">
      <w:pPr>
        <w:tabs>
          <w:tab w:val="left" w:pos="4097"/>
        </w:tabs>
        <w:rPr>
          <w:rFonts w:ascii="Segoe UI" w:hAnsi="Segoe UI" w:cs="Segoe UI"/>
        </w:rPr>
      </w:pPr>
    </w:p>
    <w:p w14:paraId="5B881278" w14:textId="77777777" w:rsidR="00610A60" w:rsidRDefault="00610A60" w:rsidP="00610A60">
      <w:pPr>
        <w:tabs>
          <w:tab w:val="left" w:pos="4097"/>
        </w:tabs>
        <w:rPr>
          <w:rFonts w:ascii="Segoe UI" w:hAnsi="Segoe UI" w:cs="Segoe UI"/>
        </w:rPr>
      </w:pPr>
      <w:r w:rsidRPr="00610A60">
        <w:rPr>
          <w:rFonts w:ascii="Segoe UI" w:hAnsi="Segoe UI" w:cs="Segoe UI"/>
          <w:b/>
          <w:bCs/>
        </w:rPr>
        <w:t>Mots-clés :</w:t>
      </w:r>
      <w:r w:rsidRPr="00610A60">
        <w:rPr>
          <w:rFonts w:ascii="Segoe UI" w:hAnsi="Segoe UI" w:cs="Segoe UI"/>
        </w:rPr>
        <w:t xml:space="preserve"> </w:t>
      </w:r>
      <w:proofErr w:type="spellStart"/>
      <w:r w:rsidRPr="00610A60">
        <w:rPr>
          <w:rFonts w:ascii="Segoe UI" w:hAnsi="Segoe UI" w:cs="Segoe UI"/>
        </w:rPr>
        <w:t>AgriTech</w:t>
      </w:r>
      <w:proofErr w:type="spellEnd"/>
      <w:r w:rsidRPr="00610A60">
        <w:rPr>
          <w:rFonts w:ascii="Segoe UI" w:hAnsi="Segoe UI" w:cs="Segoe UI"/>
        </w:rPr>
        <w:t xml:space="preserve">, Circuit court, Application web, </w:t>
      </w:r>
      <w:proofErr w:type="spellStart"/>
      <w:r w:rsidRPr="00610A60">
        <w:rPr>
          <w:rFonts w:ascii="Segoe UI" w:hAnsi="Segoe UI" w:cs="Segoe UI"/>
        </w:rPr>
        <w:t>FastAPI</w:t>
      </w:r>
      <w:proofErr w:type="spellEnd"/>
      <w:r w:rsidRPr="00610A60">
        <w:rPr>
          <w:rFonts w:ascii="Segoe UI" w:hAnsi="Segoe UI" w:cs="Segoe UI"/>
        </w:rPr>
        <w:t>, Next.js, Intelligence Artificielle, Maroc</w:t>
      </w:r>
    </w:p>
    <w:p w14:paraId="1491D49E" w14:textId="77777777" w:rsidR="00354E34" w:rsidRDefault="00354E34" w:rsidP="00610A60">
      <w:pPr>
        <w:tabs>
          <w:tab w:val="left" w:pos="4097"/>
        </w:tabs>
        <w:rPr>
          <w:rFonts w:ascii="Segoe UI" w:hAnsi="Segoe UI" w:cs="Segoe UI"/>
        </w:rPr>
      </w:pPr>
    </w:p>
    <w:p w14:paraId="5BEA7D0D" w14:textId="77777777" w:rsidR="00354E34" w:rsidRDefault="00354E34" w:rsidP="00610A60">
      <w:pPr>
        <w:tabs>
          <w:tab w:val="left" w:pos="4097"/>
        </w:tabs>
        <w:rPr>
          <w:rFonts w:ascii="Segoe UI" w:hAnsi="Segoe UI" w:cs="Segoe UI"/>
        </w:rPr>
      </w:pPr>
    </w:p>
    <w:p w14:paraId="3B5D102F" w14:textId="18D668A3"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ABSTRACT</w:t>
      </w:r>
    </w:p>
    <w:p w14:paraId="37D0B622" w14:textId="77777777"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
    <w:p w14:paraId="3ADF2129"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This report presents the development of SOUKI, an innovative web platform designed to facilitate the purchase of fresh fruits and vegetables through a short supply chain model in Morocco. In response to the dilemma faced by urban consumers between time-consuming traditional markets and expensive general delivery applications, our solution offers a modern, affordable, and locally adapted approach.</w:t>
      </w:r>
    </w:p>
    <w:p w14:paraId="1D0801BB" w14:textId="77777777" w:rsidR="00354E34" w:rsidRPr="00354E34" w:rsidRDefault="00354E34" w:rsidP="00354E34">
      <w:pPr>
        <w:pStyle w:val="Titres"/>
        <w:jc w:val="left"/>
        <w:rPr>
          <w:rFonts w:ascii="Segoe UI" w:hAnsi="Segoe UI" w:cs="Segoe UI"/>
          <w:b w:val="0"/>
          <w:color w:val="000000" w:themeColor="text1"/>
          <w:lang w:val="en-US"/>
        </w:rPr>
      </w:pPr>
    </w:p>
    <w:p w14:paraId="5737229F"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The project uses a full-stack architecture composed of a FastAPI/Python API, a Next.js/React web interface, and a React Native/Expo mobile application. The codebase implements JWT authentication, OTP verification, Google sign-in, role-based access, catalogue and cart management, checkout, Just-In-Time aggregation, logistics dispatch, delivery tracking, supplier workflows, claims, and SoukiWallet. Intelligent ordering uses Gemini for text/audio analysis and a remote Gemma-2 model with a local dataset fallback.</w:t>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
    <w:p w14:paraId="793816BC" w14:textId="77777777" w:rsidR="00354E34" w:rsidRPr="00354E34" w:rsidRDefault="00354E34" w:rsidP="00354E34">
      <w:pPr>
        <w:pStyle w:val="Titres"/>
        <w:jc w:val="left"/>
        <w:rPr>
          <w:rFonts w:ascii="Segoe UI" w:hAnsi="Segoe UI" w:cs="Segoe UI"/>
          <w:b w:val="0"/>
          <w:color w:val="000000" w:themeColor="text1"/>
          <w:lang w:val="en-US"/>
        </w:rPr>
      </w:pPr>
    </w:p>
    <w:p w14:paraId="77CD167E"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Repository analysis confirms the technical consistency of the architecture and the presence of automated tests for JIT, logistics, access isolation, and supplier features. Because no auditable production measurements or validated financial results are stored in the repository, financial figures and performance targets are reported as assumptions that require field validation.</w:t>
      </w:r>
    </w:p>
    <w:p w14:paraId="11E4C4B4" w14:textId="77777777" w:rsidR="00354E34" w:rsidRPr="00354E34" w:rsidRDefault="00354E34" w:rsidP="00354E34">
      <w:pPr>
        <w:pStyle w:val="Titres"/>
        <w:jc w:val="left"/>
        <w:rPr>
          <w:rFonts w:ascii="Segoe UI" w:hAnsi="Segoe UI" w:cs="Segoe UI"/>
          <w:b w:val="0"/>
          <w:color w:val="000000" w:themeColor="text1"/>
          <w:lang w:val="en-US"/>
        </w:rPr>
      </w:pPr>
    </w:p>
    <w:p w14:paraId="24BBF6D9" w14:textId="105AFAA5"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Cs/>
          <w:color w:val="000000" w:themeColor="text1"/>
          <w:lang w:val="en-US"/>
        </w:rPr>
        <w:t>Keywords:</w:t>
      </w:r>
      <w:r w:rsidRPr="00354E34">
        <w:rPr>
          <w:rFonts w:ascii="Segoe UI" w:hAnsi="Segoe UI" w:cs="Segoe UI"/>
          <w:b w:val="0"/>
          <w:color w:val="000000" w:themeColor="text1"/>
          <w:lang w:val="en-US"/>
        </w:rPr>
        <w:t xml:space="preserve"> </w:t>
      </w:r>
      <w:proofErr w:type="spellStart"/>
      <w:r w:rsidRPr="00354E34">
        <w:rPr>
          <w:rFonts w:ascii="Segoe UI" w:hAnsi="Segoe UI" w:cs="Segoe UI"/>
          <w:b w:val="0"/>
          <w:color w:val="000000" w:themeColor="text1"/>
          <w:lang w:val="en-US"/>
        </w:rPr>
        <w:t>AgriTech</w:t>
      </w:r>
      <w:proofErr w:type="spellEnd"/>
      <w:r w:rsidRPr="00354E34">
        <w:rPr>
          <w:rFonts w:ascii="Segoe UI" w:hAnsi="Segoe UI" w:cs="Segoe UI"/>
          <w:b w:val="0"/>
          <w:color w:val="000000" w:themeColor="text1"/>
          <w:lang w:val="en-US"/>
        </w:rPr>
        <w:t xml:space="preserve">, Short Supply Chain, Web Application, </w:t>
      </w:r>
      <w:proofErr w:type="spellStart"/>
      <w:r w:rsidRPr="00354E34">
        <w:rPr>
          <w:rFonts w:ascii="Segoe UI" w:hAnsi="Segoe UI" w:cs="Segoe UI"/>
          <w:b w:val="0"/>
          <w:color w:val="000000" w:themeColor="text1"/>
          <w:lang w:val="en-US"/>
        </w:rPr>
        <w:t>FastAPI</w:t>
      </w:r>
      <w:proofErr w:type="spellEnd"/>
      <w:r w:rsidRPr="00354E34">
        <w:rPr>
          <w:rFonts w:ascii="Segoe UI" w:hAnsi="Segoe UI" w:cs="Segoe UI"/>
          <w:b w:val="0"/>
          <w:color w:val="000000" w:themeColor="text1"/>
          <w:lang w:val="en-US"/>
        </w:rPr>
        <w:t>, Next.js, Artificial Intelligence, Morocco</w:t>
      </w:r>
    </w:p>
    <w:p w14:paraId="596F4AB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5270235" w14:textId="04218FDD"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roofErr w:type="spellStart"/>
      <w:proofErr w:type="gramStart"/>
      <w:r w:rsidRPr="00354E34">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الملخص</w:t>
      </w:r>
      <w:proofErr w:type="spellEnd"/>
      <w:proofErr w:type="gramEnd"/>
    </w:p>
    <w:p w14:paraId="38A012D6" w14:textId="77777777" w:rsidR="00BD6FF6" w:rsidRPr="00BD6FF6" w:rsidRDefault="00354E34" w:rsidP="00BD6FF6">
      <w:pPr>
        <w:bidi/>
        <w:spacing w:line="360" w:lineRule="auto"/>
        <w:jc w:val="both"/>
        <w:rPr>
          <w:rFonts w:ascii="Segoe UI" w:hAnsi="Segoe UI" w:cs="Segoe UI"/>
          <w:lang w:val="en-US"/>
        </w:rPr>
      </w:pPr>
      <w:proofErr w:type="spellStart"/>
      <w:r w:rsidRPr="00354E34">
        <w:rPr>
          <w:rFonts w:ascii="Segoe UI" w:hAnsi="Segoe UI" w:cs="Segoe UI" w:hint="cs"/>
          <w:color w:val="000000" w:themeColor="text1"/>
          <w:lang w:val="en-US"/>
        </w:rPr>
        <w:t>يقدم</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هذا</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التقرير</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تطوير</w:t>
      </w:r>
      <w:proofErr w:type="spellEnd"/>
      <w:r w:rsidRPr="00354E34">
        <w:rPr>
          <w:rFonts w:ascii="Segoe UI" w:hAnsi="Segoe UI" w:cs="Segoe UI"/>
          <w:color w:val="000000" w:themeColor="text1"/>
          <w:lang w:val="en-US"/>
        </w:rPr>
        <w:t xml:space="preserve"> </w:t>
      </w:r>
      <w:r w:rsidR="00BD6FF6" w:rsidRPr="00BD6FF6">
        <w:rPr>
          <w:rFonts w:ascii="Segoe UI" w:eastAsia="Times New Roman" w:hAnsi="Segoe UI" w:cs="Segoe UI"/>
          <w:rtl/>
        </w:rPr>
        <w:t>يقدم هذا التقرير تطوير منصة SOUKI، وهي منصة ويب مبتكرة تهدف إلى تسهيل شراء الفواكه والخضروات الطازجة عبر نموذج السلسلة القصيرة للتوريد في المغرب.</w:t>
      </w:r>
    </w:p>
    <w:p w14:paraId="6FFF643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انطلاقًا من التحدي الذي يواجه المستهلكين في المدن بين الأسواق التقليدية التي تتطلب وقتًا وجهدًا كبيرين وتطبيقات التوصيل العامة ذات التكاليف المرتفعة، تقترح منصتنا حلًا عصريًا واقتصاديًا ومتكيفًا مع الواقع المغربي.</w:t>
      </w:r>
    </w:p>
    <w:p w14:paraId="33B3C4CE"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يعتمد المشروع على بنية تقنية حديثة من نوع Full-Stack، حيث تم استخدام FastAPI وPython لتطوير الواجهة الخلفية، وNext.js وReact لتطوير الواجهة الأمامية.</w:t>
      </w:r>
    </w:p>
    <w:p w14:paraId="1291E96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تشمل الوظائف المطورة نظام مصادقة آمن (JWT، OTP، Google OAuth)، وسلة مشتريات ذكية مدعومة بمساعد صوتي يعتمد على نموذج Gemma-2 المخصص، ونظام تجميع Just-In-Time للحد من الهدر الغذائي، بالإضافة إلى وحدة لإدارة التوزيع اللوجستي وتحسين مسارات التوصيل.</w:t>
      </w:r>
    </w:p>
    <w:p w14:paraId="02B30037"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كما يضمن دمج المحفظة الرقمية SoukiWallet ووسائل الدفع المتعددة (الدفع نقدًا وبطاقات CMI البنكية) تجربة استخدام مرنة وآمنة.</w:t>
      </w:r>
    </w:p>
    <w:p w14:paraId="281BE685"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تؤكد النتائج جدوى الحل من الناحيتين التقنية والاقتصادية، حيث يتيح نموذج "صفر هدر" تحقيق تدفق نقدي صحي منذ الطلبات الأولى والوصول إلى نقطة التعادل ابتداءً من سبع طلبات يوميًا.</w:t>
      </w:r>
    </w:p>
    <w:p w14:paraId="51673A0F" w14:textId="77777777" w:rsidR="00BD6FF6" w:rsidRDefault="00BD6FF6" w:rsidP="00BD6FF6">
      <w:pPr>
        <w:bidi/>
        <w:spacing w:line="360" w:lineRule="auto"/>
        <w:jc w:val="both"/>
        <w:rPr>
          <w:rFonts w:ascii="Segoe UI" w:eastAsia="Times New Roman" w:hAnsi="Segoe UI" w:cs="Segoe UI"/>
          <w:lang w:val="en-US"/>
        </w:rPr>
      </w:pPr>
      <w:r w:rsidRPr="00BD6FF6">
        <w:rPr>
          <w:rFonts w:ascii="Segoe UI" w:eastAsia="Times New Roman" w:hAnsi="Segoe UI" w:cs="Segoe UI"/>
          <w:rtl/>
        </w:rPr>
        <w:t>تتموقع منصة SOUKI كحل رقمي متاح يساهم في تطوير سلسلة توريد المنتجات الطازجة بما يتناسب مع خصوصيات السوق المغربي.</w:t>
      </w:r>
    </w:p>
    <w:p w14:paraId="57385049" w14:textId="77777777" w:rsidR="00BD6FF6" w:rsidRPr="00BD6FF6" w:rsidRDefault="00BD6FF6" w:rsidP="00BD6FF6">
      <w:pPr>
        <w:bidi/>
        <w:spacing w:line="360" w:lineRule="auto"/>
        <w:jc w:val="right"/>
        <w:rPr>
          <w:rFonts w:ascii="Segoe UI" w:hAnsi="Segoe UI" w:cs="Segoe UI"/>
          <w:color w:val="000000" w:themeColor="text1"/>
          <w:lang w:val="en-US"/>
        </w:rPr>
      </w:pPr>
    </w:p>
    <w:p w14:paraId="6E62EE88" w14:textId="002B35B5" w:rsidR="00354E34" w:rsidRPr="00BD6FF6" w:rsidRDefault="00BD6FF6" w:rsidP="00BD6FF6">
      <w:pPr>
        <w:pStyle w:val="Titres"/>
        <w:jc w:val="right"/>
        <w:rPr>
          <w:rFonts w:ascii="Segoe UI" w:hAnsi="Segoe UI" w:cs="Segoe UI"/>
          <w:b w:val="0"/>
          <w:color w:val="000000" w:themeColor="text1"/>
          <w:lang w:val="en-US"/>
        </w:rPr>
      </w:pPr>
      <w:r w:rsidRPr="00BD6FF6">
        <w:rPr>
          <w:rFonts w:ascii="Tahoma" w:eastAsia="Times New Roman" w:hAnsi="Tahoma" w:cs="Tahoma" w:hint="cs"/>
          <w:bCs/>
          <w:color w:val="000000" w:themeColor="text1"/>
          <w:rtl/>
        </w:rPr>
        <w:t>الكلمات</w:t>
      </w:r>
      <w:r w:rsidRPr="00BD6FF6">
        <w:rPr>
          <w:rFonts w:ascii="Segoe UI" w:eastAsia="Times New Roman" w:hAnsi="Segoe UI" w:cs="Segoe UI"/>
          <w:bCs/>
          <w:color w:val="000000" w:themeColor="text1"/>
          <w:rtl/>
        </w:rPr>
        <w:t xml:space="preserve"> </w:t>
      </w:r>
      <w:r w:rsidRPr="00BD6FF6">
        <w:rPr>
          <w:rFonts w:ascii="Tahoma" w:eastAsia="Times New Roman" w:hAnsi="Tahoma" w:cs="Tahoma" w:hint="cs"/>
          <w:bCs/>
          <w:color w:val="000000" w:themeColor="text1"/>
          <w:rtl/>
        </w:rPr>
        <w:t>المفتاحية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التكنولوجيا</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الزراعية،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السلسلة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القصيرة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للتوريد،</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تطبيق</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ويب،</w:t>
      </w:r>
      <w:r w:rsidRPr="00BD6FF6">
        <w:rPr>
          <w:rFonts w:ascii="Segoe UI" w:eastAsia="Times New Roman" w:hAnsi="Segoe UI" w:cs="Segoe UI"/>
          <w:b w:val="0"/>
          <w:color w:val="000000" w:themeColor="text1"/>
          <w:rtl/>
        </w:rPr>
        <w:t xml:space="preserve"> FastAPI</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Next.js</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الذكاء</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الاصطناعي،</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المغرب</w:t>
      </w:r>
    </w:p>
    <w:p w14:paraId="3CACDA5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163E665C"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068AB3D3" w14:textId="61460C71" w:rsidR="00354E34" w:rsidRDefault="00BD6FF6"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roofErr w:type="gramStart"/>
      <w:r w:rsidRPr="00BD6FF6">
        <w:rPr>
          <w:rFonts w:ascii="Ebrima" w:hAnsi="Ebrima" w:cs="Ebrima"/>
          <w:bCs/>
          <w:color w:val="0F4761" w:themeColor="accent1" w:themeShade="BF"/>
          <w:sz w:val="48"/>
          <w:szCs w:val="48"/>
          <w:u w:val="single"/>
          <w14:textFill>
            <w14:solidFill>
              <w14:schemeClr w14:val="accent1">
                <w14:lumMod w14:val="75000"/>
                <w14:lumMod w14:val="75000"/>
                <w14:lumOff w14:val="25000"/>
              </w14:schemeClr>
            </w14:solidFill>
          </w14:textFill>
        </w:rPr>
        <w:t>ⴰⴳⵣⵣⵓ</w:t>
      </w:r>
      <w:proofErr w:type="gramEnd"/>
    </w:p>
    <w:p w14:paraId="432A75B2"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ⴰⵙⵙⵉⵏⵏⴰ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ⵓⵎⴰⵔⴰⵔ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ⵉⵙⵙⴽⴻⵔ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ⵜⵉⵙⵏⴰⴼⵜ</w:t>
      </w:r>
      <w:r w:rsidRPr="00BD6FF6">
        <w:rPr>
          <w:rFonts w:ascii="Segoe UI" w:hAnsi="Segoe UI" w:cs="Segoe UI"/>
          <w:b w:val="0"/>
          <w:color w:val="000000" w:themeColor="text1"/>
        </w:rPr>
        <w:t xml:space="preserve"> **SOUKI**,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ⵓⵙⵙⵓⴷⴷⵓ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ⵜⴰⴼⴰⴽⴽⴰ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ⵓⵙⵉⵙⵜⴰⵏ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ⵓⵣⴳⵣⴰⵡ</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ⴰⵎⴰⵣⵉⵖ</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rPr>
        <w:t>.</w:t>
      </w:r>
    </w:p>
    <w:p w14:paraId="4EF20A80" w14:textId="77777777" w:rsidR="00BD6FF6" w:rsidRPr="00BD6FF6" w:rsidRDefault="00BD6FF6" w:rsidP="00BD6FF6">
      <w:pPr>
        <w:pStyle w:val="Titres"/>
        <w:jc w:val="left"/>
        <w:rPr>
          <w:rFonts w:ascii="Segoe UI" w:hAnsi="Segoe UI" w:cs="Segoe UI"/>
          <w:b w:val="0"/>
          <w:color w:val="000000" w:themeColor="text1"/>
        </w:rPr>
      </w:pPr>
    </w:p>
    <w:p w14:paraId="3689AC5D"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ⵓⵙⵏⴼⵍⵓⵍ</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ⵉⵙⵙⵎⵔⵙ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Full-Stack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proofErr w:type="spellStart"/>
      <w:r w:rsidRPr="00BD6FF6">
        <w:rPr>
          <w:rFonts w:ascii="Segoe UI" w:hAnsi="Segoe UI" w:cs="Segoe UI"/>
          <w:b w:val="0"/>
          <w:color w:val="000000" w:themeColor="text1"/>
        </w:rPr>
        <w:t>FastAPI</w:t>
      </w:r>
      <w:proofErr w:type="spellEnd"/>
      <w:r w:rsidRPr="00BD6FF6">
        <w:rPr>
          <w:rFonts w:ascii="Segoe UI" w:hAnsi="Segoe UI" w:cs="Segoe UI"/>
          <w:b w:val="0"/>
          <w:color w:val="000000" w:themeColor="text1"/>
        </w:rPr>
        <w:t xml:space="preserve">/Python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ⴰⴷⴼⴼⵉⵔ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Next.js/</w:t>
      </w:r>
      <w:proofErr w:type="spellStart"/>
      <w:r w:rsidRPr="00BD6FF6">
        <w:rPr>
          <w:rFonts w:ascii="Segoe UI" w:hAnsi="Segoe UI" w:cs="Segoe UI"/>
          <w:b w:val="0"/>
          <w:color w:val="000000" w:themeColor="text1"/>
        </w:rPr>
        <w:t>React</w:t>
      </w:r>
      <w:proofErr w:type="spellEnd"/>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ⴰⵣⴷⴰⵔ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ⵉⵙⵎⵓⵜⵜⵓⵏ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ⴳⵉⵙⵏ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ⴰⵎⵎⴰⵣ</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JWT, OTP, Google OAuth, </w:t>
      </w:r>
      <w:r w:rsidRPr="00BD6FF6">
        <w:rPr>
          <w:rFonts w:ascii="Ebrima" w:hAnsi="Ebrima" w:cs="Ebrima"/>
          <w:b w:val="0"/>
          <w:color w:val="000000" w:themeColor="text1"/>
          <w:lang w:val="en-US"/>
        </w:rPr>
        <w:t>ⵜⴰⵙⵏⵉⴹⵜ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ⵉⵙⵎⴰⵔⵜ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Gemma-2, </w:t>
      </w:r>
      <w:r w:rsidRPr="00BD6FF6">
        <w:rPr>
          <w:rFonts w:ascii="Ebrima" w:hAnsi="Ebrima" w:cs="Ebrima"/>
          <w:b w:val="0"/>
          <w:color w:val="000000" w:themeColor="text1"/>
          <w:lang w:val="en-US"/>
        </w:rPr>
        <w:t>ⴰⵏⴰⴳⵔⴰⵎ</w:t>
      </w:r>
      <w:r w:rsidRPr="00BD6FF6">
        <w:rPr>
          <w:rFonts w:ascii="Segoe UI" w:hAnsi="Segoe UI" w:cs="Segoe UI"/>
          <w:b w:val="0"/>
          <w:color w:val="000000" w:themeColor="text1"/>
        </w:rPr>
        <w:t xml:space="preserve"> Just-In-Time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ⵓⵙⵙⵏⵇⵇⵙ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ⵓⵙⴰⵔⵓ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ⵓⵙⵙⴰⴼⴰⴹ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ⵓⵙⴷⴰⵡ</w:t>
      </w:r>
      <w:r w:rsidRPr="00BD6FF6">
        <w:rPr>
          <w:rFonts w:ascii="Segoe UI" w:hAnsi="Segoe UI" w:cs="Segoe UI"/>
          <w:b w:val="0"/>
          <w:color w:val="000000" w:themeColor="text1"/>
        </w:rPr>
        <w:t>.</w:t>
      </w:r>
    </w:p>
    <w:p w14:paraId="5AA639C9" w14:textId="77777777" w:rsidR="00BD6FF6" w:rsidRPr="00BD6FF6" w:rsidRDefault="00BD6FF6" w:rsidP="00BD6FF6">
      <w:pPr>
        <w:pStyle w:val="Titres"/>
        <w:jc w:val="left"/>
        <w:rPr>
          <w:rFonts w:ascii="Segoe UI" w:hAnsi="Segoe UI" w:cs="Segoe UI"/>
          <w:b w:val="0"/>
          <w:color w:val="000000" w:themeColor="text1"/>
        </w:rPr>
      </w:pPr>
    </w:p>
    <w:p w14:paraId="3603B13B" w14:textId="77777777" w:rsidR="00BD6FF6" w:rsidRPr="00BD6FF6" w:rsidRDefault="00BD6FF6" w:rsidP="00BD6FF6">
      <w:pPr>
        <w:pStyle w:val="Titres"/>
        <w:jc w:val="left"/>
        <w:rPr>
          <w:rFonts w:ascii="Segoe UI" w:hAnsi="Segoe UI" w:cs="Segoe UI"/>
          <w:b w:val="0"/>
          <w:color w:val="000000" w:themeColor="text1"/>
        </w:rPr>
      </w:pPr>
      <w:proofErr w:type="gramStart"/>
      <w:r w:rsidRPr="00BD6FF6">
        <w:rPr>
          <w:rFonts w:ascii="Ebrima" w:hAnsi="Ebrima" w:cs="Ebrima"/>
          <w:b w:val="0"/>
          <w:color w:val="000000" w:themeColor="text1"/>
          <w:lang w:val="en-US"/>
        </w:rPr>
        <w:t>ⵉⵙⵙⴼⵍⴷ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ⵉⴳⵎⴰⴹⵏ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ⵜⴻⵜⵜⵓⵙⴽⵔ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ⵜⵉⵖⴰⵔⴰⵙⵉⵏ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ⵜⵉⵏⵉⴽⵏⵉⴽⵜ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ⵜⴰⴷⵔⵉⵎⵜ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ⵓⵎⵓⴷⵍ</w:t>
      </w:r>
      <w:r w:rsidRPr="00BD6FF6">
        <w:rPr>
          <w:rFonts w:ascii="Segoe UI" w:hAnsi="Segoe UI" w:cs="Segoe UI"/>
          <w:b w:val="0"/>
          <w:color w:val="000000" w:themeColor="text1"/>
        </w:rPr>
        <w:t xml:space="preserve"> "Zero Waste" </w:t>
      </w:r>
      <w:r w:rsidRPr="00BD6FF6">
        <w:rPr>
          <w:rFonts w:ascii="Ebrima" w:hAnsi="Ebrima" w:cs="Ebrima"/>
          <w:b w:val="0"/>
          <w:color w:val="000000" w:themeColor="text1"/>
          <w:lang w:val="en-US"/>
        </w:rPr>
        <w:t>ⵉⵙⵙⵏⵖⵎⴰⵙ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ⵜⴰⵎⴰⵔⵓⵜ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ⵉⵣⵡⴰⵔⵏ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ⵉⵜⵜⴰⵡⴹ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ⵜⵉⵏⵇⵇⵉⵜ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ⵓⵙⵙⵉⴷⴼ</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7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ⵓⵙⵙⴰⵏ</w:t>
      </w:r>
      <w:r w:rsidRPr="00BD6FF6">
        <w:rPr>
          <w:rFonts w:ascii="Segoe UI" w:hAnsi="Segoe UI" w:cs="Segoe UI"/>
          <w:b w:val="0"/>
          <w:color w:val="000000" w:themeColor="text1"/>
        </w:rPr>
        <w:t>.</w:t>
      </w:r>
      <w:proofErr w:type="gramEnd"/>
    </w:p>
    <w:p w14:paraId="46B2FCC6" w14:textId="77777777" w:rsidR="00BD6FF6" w:rsidRPr="00BD6FF6" w:rsidRDefault="00BD6FF6" w:rsidP="00BD6FF6">
      <w:pPr>
        <w:pStyle w:val="Titres"/>
        <w:jc w:val="left"/>
        <w:rPr>
          <w:rFonts w:ascii="Segoe UI" w:hAnsi="Segoe UI" w:cs="Segoe UI"/>
          <w:b w:val="0"/>
          <w:color w:val="000000" w:themeColor="text1"/>
        </w:rPr>
      </w:pPr>
    </w:p>
    <w:p w14:paraId="35139772" w14:textId="5B9817B0" w:rsidR="00BD6FF6" w:rsidRPr="00BD6FF6" w:rsidRDefault="00BD6FF6" w:rsidP="00BD6FF6">
      <w:pPr>
        <w:pStyle w:val="Titres"/>
        <w:jc w:val="left"/>
        <w:rPr>
          <w:rFonts w:ascii="Segoe UI" w:hAnsi="Segoe UI" w:cs="Segoe UI"/>
          <w:b w:val="0"/>
          <w:color w:val="000000" w:themeColor="text1"/>
          <w:lang w:val="en-US"/>
        </w:rPr>
      </w:pPr>
      <w:r w:rsidRPr="00BD6FF6">
        <w:rPr>
          <w:rFonts w:ascii="Ebrima" w:hAnsi="Ebrima" w:cs="Ebrima"/>
          <w:bCs/>
          <w:color w:val="000000" w:themeColor="text1"/>
          <w:lang w:val="en-US"/>
        </w:rPr>
        <w:t>ⵜⴰⵡⵓⵔⵉⵏ</w:t>
      </w:r>
      <w:r w:rsidRPr="00BD6FF6">
        <w:rPr>
          <w:rFonts w:ascii="Segoe UI" w:hAnsi="Segoe UI" w:cs="Segoe UI"/>
          <w:bCs/>
          <w:color w:val="000000" w:themeColor="text1"/>
          <w:lang w:val="en-US"/>
        </w:rPr>
        <w:t xml:space="preserve"> </w:t>
      </w:r>
      <w:r w:rsidRPr="00BD6FF6">
        <w:rPr>
          <w:rFonts w:ascii="Ebrima" w:hAnsi="Ebrima" w:cs="Ebrima"/>
          <w:bCs/>
          <w:color w:val="000000" w:themeColor="text1"/>
          <w:lang w:val="en-US"/>
        </w:rPr>
        <w:t>ⵉⵙⵙⵏⵏⵉⵏ</w:t>
      </w:r>
      <w:r w:rsidRPr="00BD6FF6">
        <w:rPr>
          <w:rFonts w:ascii="Segoe UI" w:hAnsi="Segoe UI" w:cs="Segoe UI"/>
          <w:bCs/>
          <w:color w:val="000000" w:themeColor="text1"/>
          <w:lang w:val="en-US"/>
        </w:rPr>
        <w:t>:</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AgriTech</w:t>
      </w:r>
      <w:proofErr w:type="spellEnd"/>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ⴰⵣⴳⵣⴰⵡ</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ⵓⵥⵍⵉⵏ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ⴰⵙⵏⴼⵍⵓⵍ</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FastAPI</w:t>
      </w:r>
      <w:proofErr w:type="spellEnd"/>
      <w:r w:rsidRPr="00BD6FF6">
        <w:rPr>
          <w:rFonts w:ascii="Segoe UI" w:hAnsi="Segoe UI" w:cs="Segoe UI"/>
          <w:b w:val="0"/>
          <w:color w:val="000000" w:themeColor="text1"/>
          <w:lang w:val="en-US"/>
        </w:rPr>
        <w:t xml:space="preserve">, Next.js, </w:t>
      </w:r>
      <w:r w:rsidRPr="00BD6FF6">
        <w:rPr>
          <w:rFonts w:ascii="Ebrima" w:hAnsi="Ebrima" w:cs="Ebrima"/>
          <w:b w:val="0"/>
          <w:color w:val="000000" w:themeColor="text1"/>
          <w:lang w:val="en-US"/>
        </w:rPr>
        <w:t>ⵜⴰⵎⵓⵙⵏⵉ</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ⵜⴰⵎⴰⵙⵙⴰⵏⵜ</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lang w:val="en-US"/>
        </w:rPr>
        <w:t>.</w:t>
      </w:r>
    </w:p>
    <w:p w14:paraId="21CA36AA"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43801234"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7C71124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0772CBC" w14:textId="77777777" w:rsidR="00354E34" w:rsidRPr="00354E34" w:rsidRDefault="00354E34" w:rsidP="00610A60">
      <w:pPr>
        <w:tabs>
          <w:tab w:val="left" w:pos="4097"/>
        </w:tabs>
        <w:rPr>
          <w:rFonts w:ascii="Segoe UI" w:hAnsi="Segoe UI" w:cs="Segoe UI"/>
          <w:lang w:val="en-US"/>
        </w:rPr>
      </w:pPr>
    </w:p>
    <w:p w14:paraId="71BA4BA9" w14:textId="77777777" w:rsidR="003C7528" w:rsidRPr="00354E34" w:rsidRDefault="003C7528" w:rsidP="00610A60">
      <w:pPr>
        <w:tabs>
          <w:tab w:val="left" w:pos="4097"/>
        </w:tabs>
        <w:rPr>
          <w:rFonts w:ascii="Segoe UI" w:hAnsi="Segoe UI" w:cs="Segoe UI"/>
          <w:lang w:val="en-US"/>
        </w:rPr>
      </w:pPr>
    </w:p>
    <w:p w14:paraId="134737B6" w14:textId="77777777" w:rsidR="003C7528" w:rsidRDefault="003C7528" w:rsidP="00610A60">
      <w:pPr>
        <w:tabs>
          <w:tab w:val="left" w:pos="4097"/>
        </w:tabs>
        <w:rPr>
          <w:rFonts w:ascii="Segoe UI" w:hAnsi="Segoe UI" w:cs="Segoe UI"/>
          <w:lang w:val="en-US"/>
        </w:rPr>
      </w:pPr>
    </w:p>
    <w:p w14:paraId="1B087F76" w14:textId="77777777" w:rsidR="00354E34" w:rsidRPr="00354E34" w:rsidRDefault="00354E34" w:rsidP="00610A60">
      <w:pPr>
        <w:tabs>
          <w:tab w:val="left" w:pos="4097"/>
        </w:tabs>
        <w:rPr>
          <w:rFonts w:ascii="Segoe UI" w:hAnsi="Segoe UI" w:cs="Segoe UI"/>
          <w:lang w:val="en-US"/>
        </w:rPr>
      </w:pPr>
    </w:p>
    <w:p w14:paraId="41BE27A1" w14:textId="5FF0E13D" w:rsidR="003C7528" w:rsidRPr="009E069D" w:rsidRDefault="003C7528" w:rsidP="009E069D">
      <w:pPr>
        <w:pStyle w:val="Titres"/>
        <w:jc w:val="left"/>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r w:rsidRPr="00354E34">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t>Table De Matière</w:t>
      </w:r>
    </w:p>
    <w:p w14:paraId="21A465F4"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Résumé</w:t>
      </w:r>
    </w:p>
    <w:p w14:paraId="3AE800CE"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Abstract</w:t>
      </w:r>
    </w:p>
    <w:p w14:paraId="7173BD65" w14:textId="77777777" w:rsidR="004D3886" w:rsidRPr="004D3886" w:rsidRDefault="004D3886" w:rsidP="004D3886">
      <w:pPr>
        <w:tabs>
          <w:tab w:val="right" w:pos="9026"/>
        </w:tabs>
        <w:spacing w:before="160"/>
        <w:rPr>
          <w:rFonts w:ascii="Segoe UI" w:hAnsi="Segoe UI" w:cs="Segoe UI"/>
        </w:rPr>
      </w:pPr>
      <w:proofErr w:type="spellStart"/>
      <w:proofErr w:type="gramStart"/>
      <w:r w:rsidRPr="004D3886">
        <w:rPr>
          <w:rFonts w:ascii="Segoe UI" w:eastAsia="Arial" w:hAnsi="Segoe UI" w:cs="Segoe UI"/>
          <w:b/>
          <w:bCs/>
        </w:rPr>
        <w:t>الملخص</w:t>
      </w:r>
      <w:proofErr w:type="spellEnd"/>
      <w:proofErr w:type="gramEnd"/>
    </w:p>
    <w:p w14:paraId="0035AE60" w14:textId="77777777" w:rsidR="004D3886" w:rsidRPr="004D3886" w:rsidRDefault="004D3886" w:rsidP="004D3886">
      <w:pPr>
        <w:tabs>
          <w:tab w:val="right" w:pos="9026"/>
        </w:tabs>
        <w:spacing w:before="160"/>
        <w:rPr>
          <w:rFonts w:ascii="Segoe UI" w:hAnsi="Segoe UI" w:cs="Segoe UI"/>
        </w:rPr>
      </w:pPr>
      <w:proofErr w:type="gramStart"/>
      <w:r w:rsidRPr="004D3886">
        <w:rPr>
          <w:rFonts w:ascii="Ebrima" w:eastAsia="Arial" w:hAnsi="Ebrima" w:cs="Ebrima"/>
          <w:b/>
          <w:bCs/>
        </w:rPr>
        <w:t>ⴰⴳⵣⵣⵓ</w:t>
      </w:r>
      <w:proofErr w:type="gramEnd"/>
    </w:p>
    <w:p w14:paraId="266F54E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abréviations</w:t>
      </w:r>
    </w:p>
    <w:p w14:paraId="18189BA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figures</w:t>
      </w:r>
    </w:p>
    <w:p w14:paraId="0317277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tableaux</w:t>
      </w:r>
    </w:p>
    <w:p w14:paraId="2A51A7A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Introduction Générale</w:t>
      </w:r>
    </w:p>
    <w:p w14:paraId="19992D4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1 : Contexte et Problématique</w:t>
      </w:r>
    </w:p>
    <w:p w14:paraId="2469C598"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1.1 Présentation du secteur agroalimentaire au Maroc</w:t>
      </w:r>
    </w:p>
    <w:p w14:paraId="08CE2DC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1.2 Problématique : le compromis frais / prix / temps</w:t>
      </w:r>
    </w:p>
    <w:p w14:paraId="68BF627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1.3 Solution proposée : SOUKI</w:t>
      </w:r>
    </w:p>
    <w:p w14:paraId="113259E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1.4 Objectifs du projet</w:t>
      </w:r>
    </w:p>
    <w:p w14:paraId="53AF12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1.4.1 Objectifs techniques</w:t>
      </w:r>
    </w:p>
    <w:p w14:paraId="7E5F41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1.4.2 Objectifs fonctionnels et business</w:t>
      </w:r>
    </w:p>
    <w:p w14:paraId="27706B3A"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2 : Analyse et Conception</w:t>
      </w:r>
    </w:p>
    <w:p w14:paraId="1ECE52F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2.1 Analyse des besoins fonctionnels</w:t>
      </w:r>
    </w:p>
    <w:p w14:paraId="6C5248E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2.1.1 Identification des acteurs (Client, Parent, Livreur, Fournisseur, Admin)</w:t>
      </w:r>
    </w:p>
    <w:p w14:paraId="2BC3274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2.1.2 Scenarios d'usage type</w:t>
      </w:r>
    </w:p>
    <w:p w14:paraId="78C6772D"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2.1.3 Cas d'utilisation détaillés</w:t>
      </w:r>
    </w:p>
    <w:p w14:paraId="70D6F5E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2.1.4 Exigences non-fonctionnelles</w:t>
      </w:r>
    </w:p>
    <w:p w14:paraId="01A38E6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2.2 Etat de l'art / Analyse comparative du marché</w:t>
      </w:r>
    </w:p>
    <w:p w14:paraId="7A9A10C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lastRenderedPageBreak/>
        <w:t>2.2.1 Applications de livraison généralistes (</w:t>
      </w:r>
      <w:proofErr w:type="spellStart"/>
      <w:r w:rsidRPr="004D3886">
        <w:rPr>
          <w:rFonts w:ascii="Segoe UI" w:eastAsia="Arial" w:hAnsi="Segoe UI" w:cs="Segoe UI"/>
          <w:sz w:val="20"/>
          <w:szCs w:val="20"/>
        </w:rPr>
        <w:t>Glovo</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Kaalix</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Khodrati</w:t>
      </w:r>
      <w:proofErr w:type="spellEnd"/>
      <w:r w:rsidRPr="004D3886">
        <w:rPr>
          <w:rFonts w:ascii="Segoe UI" w:eastAsia="Arial" w:hAnsi="Segoe UI" w:cs="Segoe UI"/>
          <w:sz w:val="20"/>
          <w:szCs w:val="20"/>
        </w:rPr>
        <w:t>)</w:t>
      </w:r>
    </w:p>
    <w:p w14:paraId="03819D1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2.2.2 Plateformes E-commerce bio (Green Village)</w:t>
      </w:r>
    </w:p>
    <w:p w14:paraId="1E73A29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2.2.3 Marchés traditionnels physiques (Souks)</w:t>
      </w:r>
    </w:p>
    <w:p w14:paraId="5530652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2.2.4 Notre différenciation (valeur ajoutée)</w:t>
      </w:r>
    </w:p>
    <w:p w14:paraId="3CA53FC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2.3 Analyse des risques du projet</w:t>
      </w:r>
    </w:p>
    <w:p w14:paraId="2A8D122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2.4 Spécifications techniques</w:t>
      </w:r>
    </w:p>
    <w:p w14:paraId="00FF5AD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2.4.1 Vue d'ensemble de l'architecture</w:t>
      </w:r>
    </w:p>
    <w:p w14:paraId="5F4C7B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2.4.2 Architecture fonctionnelle (modules métier)</w:t>
      </w:r>
    </w:p>
    <w:p w14:paraId="142489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2.4.3 Architecture technique (Backend / Frontend / Mobile)</w:t>
      </w:r>
    </w:p>
    <w:p w14:paraId="58CB4B4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2.5 Architecture globale du système</w:t>
      </w:r>
    </w:p>
    <w:p w14:paraId="0A14571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2.5.1 Workflows détaillés (agrégation JIT, commande vocale, dispatch)</w:t>
      </w:r>
    </w:p>
    <w:p w14:paraId="495CB9F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2.5.2 Gestion des données</w:t>
      </w:r>
    </w:p>
    <w:p w14:paraId="0557C2B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2.5.3 Intégrations externes</w:t>
      </w:r>
    </w:p>
    <w:p w14:paraId="12D62CA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2.5.4 Sécurité et authentification</w:t>
      </w:r>
    </w:p>
    <w:p w14:paraId="3D7C60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2.6 Conception de la base de données (modèles PostgreSQL)</w:t>
      </w:r>
    </w:p>
    <w:p w14:paraId="678D3527"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2.7 Diagrammes UML (Cas d'utilisation, Séquences)</w:t>
      </w:r>
    </w:p>
    <w:p w14:paraId="2F3D1267"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2.7.1 Authentification classique (Email/Téléphone + OTP)</w:t>
      </w:r>
    </w:p>
    <w:p w14:paraId="54F7CF3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2.7.2 S'authentifier via OAuth (Google)</w:t>
      </w:r>
    </w:p>
    <w:p w14:paraId="41D523A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2.7.3 Créer une commande vocale</w:t>
      </w:r>
    </w:p>
    <w:p w14:paraId="28C4CF9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2.7.4 Processus d'agrégation JIT</w:t>
      </w:r>
    </w:p>
    <w:p w14:paraId="215D00F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2.8 Maquettes et prototypes de l'interface</w:t>
      </w:r>
    </w:p>
    <w:p w14:paraId="07F9E7A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2.8.1 Parcours Client</w:t>
      </w:r>
    </w:p>
    <w:p w14:paraId="1938E42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2.8.2 Parcours Livreur</w:t>
      </w:r>
    </w:p>
    <w:p w14:paraId="3695C15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2.8.3 Parcours Fournisseur</w:t>
      </w:r>
    </w:p>
    <w:p w14:paraId="2A2765F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2.8.4 Parcours Administrateur</w:t>
      </w:r>
    </w:p>
    <w:p w14:paraId="447FD7D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3 : Choix Technologiques et Architecture Technique</w:t>
      </w:r>
    </w:p>
    <w:p w14:paraId="77888A3A" w14:textId="77777777" w:rsidR="004D3886" w:rsidRPr="004D3886" w:rsidRDefault="004D3886" w:rsidP="004D3886">
      <w:pPr>
        <w:tabs>
          <w:tab w:val="right" w:pos="9026"/>
        </w:tabs>
        <w:spacing w:before="80"/>
        <w:ind w:left="360"/>
        <w:rPr>
          <w:rFonts w:ascii="Segoe UI" w:hAnsi="Segoe UI" w:cs="Segoe UI"/>
          <w:lang w:val="en-US"/>
        </w:rPr>
      </w:pPr>
      <w:r w:rsidRPr="004D3886">
        <w:rPr>
          <w:rFonts w:ascii="Segoe UI" w:eastAsia="Arial" w:hAnsi="Segoe UI" w:cs="Segoe UI"/>
          <w:sz w:val="22"/>
          <w:szCs w:val="22"/>
          <w:lang w:val="en-US"/>
        </w:rPr>
        <w:lastRenderedPageBreak/>
        <w:t>3.1 Architecture Full-Stack</w:t>
      </w:r>
    </w:p>
    <w:p w14:paraId="4C2BD093"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3.1.1 Architecture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/Python)</w:t>
      </w:r>
    </w:p>
    <w:p w14:paraId="47ED7AD5"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3.1.2 Architecture Frontend (Next.js/React)</w:t>
      </w:r>
    </w:p>
    <w:p w14:paraId="7C8E18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3.1.3 Architecture Mobile (PWA)</w:t>
      </w:r>
    </w:p>
    <w:p w14:paraId="72542E8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3.2 Justification des choix technologiques</w:t>
      </w:r>
    </w:p>
    <w:p w14:paraId="228AFBD8"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3.2.1 Stack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 xml:space="preserve">, PostgreSQL, </w:t>
      </w:r>
      <w:proofErr w:type="spellStart"/>
      <w:r w:rsidRPr="004D3886">
        <w:rPr>
          <w:rFonts w:ascii="Segoe UI" w:eastAsia="Arial" w:hAnsi="Segoe UI" w:cs="Segoe UI"/>
          <w:sz w:val="20"/>
          <w:szCs w:val="20"/>
          <w:lang w:val="en-US"/>
        </w:rPr>
        <w:t>SQLAlchemy</w:t>
      </w:r>
      <w:proofErr w:type="spellEnd"/>
      <w:r w:rsidRPr="004D3886">
        <w:rPr>
          <w:rFonts w:ascii="Segoe UI" w:eastAsia="Arial" w:hAnsi="Segoe UI" w:cs="Segoe UI"/>
          <w:sz w:val="20"/>
          <w:szCs w:val="20"/>
          <w:lang w:val="en-US"/>
        </w:rPr>
        <w:t>)</w:t>
      </w:r>
    </w:p>
    <w:p w14:paraId="48EC437E"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3.2.2 Stack Frontend (Next.js, TypeScript, </w:t>
      </w:r>
      <w:proofErr w:type="spellStart"/>
      <w:r w:rsidRPr="004D3886">
        <w:rPr>
          <w:rFonts w:ascii="Segoe UI" w:eastAsia="Arial" w:hAnsi="Segoe UI" w:cs="Segoe UI"/>
          <w:sz w:val="20"/>
          <w:szCs w:val="20"/>
          <w:lang w:val="en-US"/>
        </w:rPr>
        <w:t>Shadcn</w:t>
      </w:r>
      <w:proofErr w:type="spellEnd"/>
      <w:r w:rsidRPr="004D3886">
        <w:rPr>
          <w:rFonts w:ascii="Segoe UI" w:eastAsia="Arial" w:hAnsi="Segoe UI" w:cs="Segoe UI"/>
          <w:sz w:val="20"/>
          <w:szCs w:val="20"/>
          <w:lang w:val="en-US"/>
        </w:rPr>
        <w:t xml:space="preserve">/UI, </w:t>
      </w:r>
      <w:proofErr w:type="spellStart"/>
      <w:r w:rsidRPr="004D3886">
        <w:rPr>
          <w:rFonts w:ascii="Segoe UI" w:eastAsia="Arial" w:hAnsi="Segoe UI" w:cs="Segoe UI"/>
          <w:sz w:val="20"/>
          <w:szCs w:val="20"/>
          <w:lang w:val="en-US"/>
        </w:rPr>
        <w:t>TailwindCSS</w:t>
      </w:r>
      <w:proofErr w:type="spellEnd"/>
      <w:r w:rsidRPr="004D3886">
        <w:rPr>
          <w:rFonts w:ascii="Segoe UI" w:eastAsia="Arial" w:hAnsi="Segoe UI" w:cs="Segoe UI"/>
          <w:sz w:val="20"/>
          <w:szCs w:val="20"/>
          <w:lang w:val="en-US"/>
        </w:rPr>
        <w:t>)</w:t>
      </w:r>
    </w:p>
    <w:p w14:paraId="2AE6113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3.2.3 Services tiers (</w:t>
      </w:r>
      <w:proofErr w:type="spellStart"/>
      <w:r w:rsidRPr="004D3886">
        <w:rPr>
          <w:rFonts w:ascii="Segoe UI" w:eastAsia="Arial" w:hAnsi="Segoe UI" w:cs="Segoe UI"/>
          <w:sz w:val="20"/>
          <w:szCs w:val="20"/>
        </w:rPr>
        <w:t>Hugging</w:t>
      </w:r>
      <w:proofErr w:type="spellEnd"/>
      <w:r w:rsidRPr="004D3886">
        <w:rPr>
          <w:rFonts w:ascii="Segoe UI" w:eastAsia="Arial" w:hAnsi="Segoe UI" w:cs="Segoe UI"/>
          <w:sz w:val="20"/>
          <w:szCs w:val="20"/>
        </w:rPr>
        <w:t xml:space="preserve"> Face, Gemini AI, Google OAuth, </w:t>
      </w:r>
      <w:proofErr w:type="spellStart"/>
      <w:r w:rsidRPr="004D3886">
        <w:rPr>
          <w:rFonts w:ascii="Segoe UI" w:eastAsia="Arial" w:hAnsi="Segoe UI" w:cs="Segoe UI"/>
          <w:sz w:val="20"/>
          <w:szCs w:val="20"/>
        </w:rPr>
        <w:t>Supabase</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PayZone</w:t>
      </w:r>
      <w:proofErr w:type="spellEnd"/>
      <w:r w:rsidRPr="004D3886">
        <w:rPr>
          <w:rFonts w:ascii="Segoe UI" w:eastAsia="Arial" w:hAnsi="Segoe UI" w:cs="Segoe UI"/>
          <w:sz w:val="20"/>
          <w:szCs w:val="20"/>
        </w:rPr>
        <w:t>)</w:t>
      </w:r>
    </w:p>
    <w:p w14:paraId="572E452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3.3 Sécurité et authentification</w:t>
      </w:r>
    </w:p>
    <w:p w14:paraId="2520373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4 : Réalisation et Implémentation</w:t>
      </w:r>
    </w:p>
    <w:p w14:paraId="5FF34CD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4.1 Modules développés</w:t>
      </w:r>
    </w:p>
    <w:p w14:paraId="13D6AFDE"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 Module d'authentification et gestion multi-rôles</w:t>
      </w:r>
    </w:p>
    <w:p w14:paraId="2E25852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4.1.2 Module Catalogue et gestion des produits</w:t>
      </w:r>
    </w:p>
    <w:p w14:paraId="707126A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4.1.3 Module Panier (manuel, texte, vocal)</w:t>
      </w:r>
    </w:p>
    <w:p w14:paraId="3FE451BF"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4.1.4 Module IA - Assistant </w:t>
      </w:r>
      <w:proofErr w:type="gramStart"/>
      <w:r w:rsidRPr="004D3886">
        <w:rPr>
          <w:rFonts w:ascii="Segoe UI" w:eastAsia="Arial" w:hAnsi="Segoe UI" w:cs="Segoe UI"/>
          <w:sz w:val="20"/>
          <w:szCs w:val="20"/>
          <w:lang w:val="en-US"/>
        </w:rPr>
        <w:t>vocal</w:t>
      </w:r>
      <w:proofErr w:type="gramEnd"/>
      <w:r w:rsidRPr="004D3886">
        <w:rPr>
          <w:rFonts w:ascii="Segoe UI" w:eastAsia="Arial" w:hAnsi="Segoe UI" w:cs="Segoe UI"/>
          <w:sz w:val="20"/>
          <w:szCs w:val="20"/>
          <w:lang w:val="en-US"/>
        </w:rPr>
        <w:t xml:space="preserve"> (Gemma-2-2B fine-tune </w:t>
      </w:r>
      <w:proofErr w:type="spellStart"/>
      <w:r w:rsidRPr="004D3886">
        <w:rPr>
          <w:rFonts w:ascii="Segoe UI" w:eastAsia="Arial" w:hAnsi="Segoe UI" w:cs="Segoe UI"/>
          <w:sz w:val="20"/>
          <w:szCs w:val="20"/>
          <w:lang w:val="en-US"/>
        </w:rPr>
        <w:t>QLoRA</w:t>
      </w:r>
      <w:proofErr w:type="spellEnd"/>
      <w:r w:rsidRPr="004D3886">
        <w:rPr>
          <w:rFonts w:ascii="Segoe UI" w:eastAsia="Arial" w:hAnsi="Segoe UI" w:cs="Segoe UI"/>
          <w:sz w:val="20"/>
          <w:szCs w:val="20"/>
          <w:lang w:val="en-US"/>
        </w:rPr>
        <w:t>)</w:t>
      </w:r>
    </w:p>
    <w:p w14:paraId="3520E31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4.1.5 Module </w:t>
      </w:r>
      <w:proofErr w:type="spellStart"/>
      <w:r w:rsidRPr="004D3886">
        <w:rPr>
          <w:rFonts w:ascii="Segoe UI" w:eastAsia="Arial" w:hAnsi="Segoe UI" w:cs="Segoe UI"/>
          <w:sz w:val="20"/>
          <w:szCs w:val="20"/>
        </w:rPr>
        <w:t>Checkout</w:t>
      </w:r>
      <w:proofErr w:type="spellEnd"/>
      <w:r w:rsidRPr="004D3886">
        <w:rPr>
          <w:rFonts w:ascii="Segoe UI" w:eastAsia="Arial" w:hAnsi="Segoe UI" w:cs="Segoe UI"/>
          <w:sz w:val="20"/>
          <w:szCs w:val="20"/>
        </w:rPr>
        <w:t xml:space="preserve"> et paiement</w:t>
      </w:r>
    </w:p>
    <w:p w14:paraId="49B4562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4.1.6 Module Agrégation JIT</w:t>
      </w:r>
    </w:p>
    <w:p w14:paraId="265AC30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4.1.7 Module Dispatch et optimisation des tournées</w:t>
      </w:r>
    </w:p>
    <w:p w14:paraId="02F7E23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4.1.8 Module Livreur (</w:t>
      </w:r>
      <w:proofErr w:type="spellStart"/>
      <w:r w:rsidRPr="004D3886">
        <w:rPr>
          <w:rFonts w:ascii="Segoe UI" w:eastAsia="Arial" w:hAnsi="Segoe UI" w:cs="Segoe UI"/>
          <w:sz w:val="20"/>
          <w:szCs w:val="20"/>
        </w:rPr>
        <w:t>tracking</w:t>
      </w:r>
      <w:proofErr w:type="spellEnd"/>
      <w:r w:rsidRPr="004D3886">
        <w:rPr>
          <w:rFonts w:ascii="Segoe UI" w:eastAsia="Arial" w:hAnsi="Segoe UI" w:cs="Segoe UI"/>
          <w:sz w:val="20"/>
          <w:szCs w:val="20"/>
        </w:rPr>
        <w:t>, évènements de livraison)</w:t>
      </w:r>
    </w:p>
    <w:p w14:paraId="7AAE448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4.1.9 Module Fournisseur (marketplace B2B)</w:t>
      </w:r>
    </w:p>
    <w:p w14:paraId="0A88B6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4.1.10 Module Réclamations et Wallet</w:t>
      </w:r>
    </w:p>
    <w:p w14:paraId="39D3348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 xml:space="preserve">4.2 </w:t>
      </w:r>
      <w:proofErr w:type="spellStart"/>
      <w:r w:rsidRPr="004D3886">
        <w:rPr>
          <w:rFonts w:ascii="Segoe UI" w:eastAsia="Arial" w:hAnsi="Segoe UI" w:cs="Segoe UI"/>
          <w:sz w:val="22"/>
          <w:szCs w:val="22"/>
        </w:rPr>
        <w:t>Dashboards</w:t>
      </w:r>
      <w:proofErr w:type="spellEnd"/>
      <w:r w:rsidRPr="004D3886">
        <w:rPr>
          <w:rFonts w:ascii="Segoe UI" w:eastAsia="Arial" w:hAnsi="Segoe UI" w:cs="Segoe UI"/>
          <w:sz w:val="22"/>
          <w:szCs w:val="22"/>
        </w:rPr>
        <w:t xml:space="preserve"> spécialisés</w:t>
      </w:r>
    </w:p>
    <w:p w14:paraId="7691EF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4.3 Intégrations externes</w:t>
      </w:r>
    </w:p>
    <w:p w14:paraId="57A031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5 : Etude Financière et Modèle Economique</w:t>
      </w:r>
    </w:p>
    <w:p w14:paraId="37A021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5.1 Modèle Lean Startup / Zéro Gaspillage (Flux Tendu)</w:t>
      </w:r>
    </w:p>
    <w:p w14:paraId="153429E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5.2 Stratégie tarifaire (Produits d'Appel, Lissage de marge)</w:t>
      </w:r>
    </w:p>
    <w:p w14:paraId="0D37D97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lastRenderedPageBreak/>
        <w:t>5.3 Rentabilité par panier et projection mensuelle</w:t>
      </w:r>
    </w:p>
    <w:p w14:paraId="329F32B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5.4 Ecosystème de paiement et stratégie d'acquisition</w:t>
      </w:r>
    </w:p>
    <w:p w14:paraId="2069EAC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5.5 Gestion des risques opérationnels</w:t>
      </w:r>
    </w:p>
    <w:p w14:paraId="1A5FB82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6 : Gestion de Projet</w:t>
      </w:r>
    </w:p>
    <w:p w14:paraId="65282899"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6.1 Méthodologie adoptée (Agile)</w:t>
      </w:r>
    </w:p>
    <w:p w14:paraId="50AA688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6.2 Gestion des tâches avec GitHub</w:t>
      </w:r>
    </w:p>
    <w:p w14:paraId="3478A895"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6.2.1 Utilisation du tableau Kanban</w:t>
      </w:r>
    </w:p>
    <w:p w14:paraId="13E8360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6.2.2 Gestion des issues et pull </w:t>
      </w:r>
      <w:proofErr w:type="spellStart"/>
      <w:r w:rsidRPr="004D3886">
        <w:rPr>
          <w:rFonts w:ascii="Segoe UI" w:eastAsia="Arial" w:hAnsi="Segoe UI" w:cs="Segoe UI"/>
          <w:sz w:val="20"/>
          <w:szCs w:val="20"/>
        </w:rPr>
        <w:t>requests</w:t>
      </w:r>
      <w:proofErr w:type="spellEnd"/>
    </w:p>
    <w:p w14:paraId="4E6E1C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6.2.3 Roadmap</w:t>
      </w:r>
    </w:p>
    <w:p w14:paraId="714D6E7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6.3 Répartition des tâches dans l'équipe</w:t>
      </w:r>
    </w:p>
    <w:p w14:paraId="429459A6"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6.4 Planning et Diagramme de Gantt</w:t>
      </w:r>
    </w:p>
    <w:p w14:paraId="503FFD9C"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7 : Résultats et Evaluation</w:t>
      </w:r>
    </w:p>
    <w:p w14:paraId="41F12E6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7.1 Bilan du projet</w:t>
      </w:r>
    </w:p>
    <w:p w14:paraId="5C8CF782"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7.2 Difficultés rencontrées et solutions</w:t>
      </w:r>
    </w:p>
    <w:p w14:paraId="27001FE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7.3 Compétences acquises</w:t>
      </w:r>
    </w:p>
    <w:p w14:paraId="4AD3B28F"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Conclusion et Perspectives</w:t>
      </w:r>
    </w:p>
    <w:p w14:paraId="3675FE2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Bibliographie</w:t>
      </w:r>
    </w:p>
    <w:p w14:paraId="67A3EE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Annexes</w:t>
      </w:r>
    </w:p>
    <w:p w14:paraId="1709C67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A. Architecture technique détaillée</w:t>
      </w:r>
    </w:p>
    <w:p w14:paraId="6D0E760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B. Captures d'écran de l'application</w:t>
      </w:r>
    </w:p>
    <w:p w14:paraId="5ED1CA7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C. Documentation API REST</w:t>
      </w:r>
    </w:p>
    <w:p w14:paraId="3152449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D. Guide d'installation et déploiement</w:t>
      </w:r>
    </w:p>
    <w:p w14:paraId="3C1D9E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E. Business Plan détaillé</w:t>
      </w:r>
    </w:p>
    <w:p w14:paraId="28387738" w14:textId="77777777" w:rsidR="009C1D24" w:rsidRDefault="009C1D24" w:rsidP="003C7528">
      <w:pPr>
        <w:tabs>
          <w:tab w:val="left" w:pos="4097"/>
        </w:tabs>
        <w:jc w:val="both"/>
        <w:rPr>
          <w:rFonts w:ascii="Segoe UI" w:hAnsi="Segoe UI" w:cs="Segoe UI"/>
        </w:rPr>
      </w:pPr>
    </w:p>
    <w:p w14:paraId="22EB5762" w14:textId="77777777" w:rsidR="009C1D24" w:rsidRDefault="009C1D24" w:rsidP="003C7528">
      <w:pPr>
        <w:tabs>
          <w:tab w:val="left" w:pos="4097"/>
        </w:tabs>
        <w:jc w:val="both"/>
        <w:rPr>
          <w:rFonts w:ascii="Segoe UI" w:hAnsi="Segoe UI" w:cs="Segoe UI"/>
        </w:rPr>
      </w:pPr>
    </w:p>
    <w:p w14:paraId="19242684" w14:textId="77777777" w:rsidR="009C1D24" w:rsidRDefault="009C1D24" w:rsidP="003C7528">
      <w:pPr>
        <w:tabs>
          <w:tab w:val="left" w:pos="4097"/>
        </w:tabs>
        <w:jc w:val="both"/>
        <w:rPr>
          <w:rFonts w:ascii="Segoe UI" w:hAnsi="Segoe UI" w:cs="Segoe UI"/>
        </w:rPr>
      </w:pPr>
    </w:p>
    <w:p w14:paraId="2215E168" w14:textId="40A18556"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Abréviations</w:t>
      </w:r>
    </w:p>
    <w:p w14:paraId="17709783" w14:textId="42CDA9E3" w:rsidR="009C1D24" w:rsidRPr="00354E34" w:rsidRDefault="009C1D24" w:rsidP="009C1D24">
      <w:pPr>
        <w:pStyle w:val="Titres"/>
        <w:jc w:val="left"/>
        <w:rPr>
          <w:rFonts w:ascii="Segoe UI" w:hAnsi="Segoe UI" w:cs="Segoe UI"/>
        </w:rPr>
      </w:pPr>
      <w:r w:rsidRPr="00354E34">
        <w:rPr>
          <w:rFonts w:ascii="Segoe UI" w:hAnsi="Segoe UI" w:cs="Segoe UI"/>
        </w:rPr>
        <w:t>Abréviation     Signification complète</w:t>
      </w:r>
    </w:p>
    <w:p w14:paraId="3C750595"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ACID            Atomicity, Consistency, Isolation, Durability</w:t>
      </w:r>
    </w:p>
    <w:p w14:paraId="706404CF"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API             Application Programming Interface</w:t>
      </w:r>
    </w:p>
    <w:p w14:paraId="481977A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B2B             Business to Business</w:t>
      </w:r>
    </w:p>
    <w:p w14:paraId="1411191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B2C             Business to Consumer</w:t>
      </w:r>
    </w:p>
    <w:p w14:paraId="6EFB664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CMI             Centre Monétique Interbancaire (passerelle de paiement marocaine)</w:t>
      </w:r>
    </w:p>
    <w:p w14:paraId="3D8EDDF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COD             Cash On Delivery (paiement à la livraison)</w:t>
      </w:r>
    </w:p>
    <w:p w14:paraId="2CE583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CORS            Cross-Origin Resource Sharing</w:t>
      </w:r>
    </w:p>
    <w:p w14:paraId="7BEDDA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CPU             Central Processing Unit</w:t>
      </w:r>
    </w:p>
    <w:p w14:paraId="6EDFB9A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CRUD            Create, Read, Update, Delete</w:t>
      </w:r>
    </w:p>
    <w:p w14:paraId="17E1B2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CSRF            Cross-Site Request Forgery</w:t>
      </w:r>
    </w:p>
    <w:p w14:paraId="4899182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CSS             Cascading Style Sheets</w:t>
      </w:r>
    </w:p>
    <w:p w14:paraId="3440F1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DAO             Data Access Object</w:t>
      </w:r>
    </w:p>
    <w:p w14:paraId="3A8556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DNS             Domain Name System</w:t>
      </w:r>
    </w:p>
    <w:p w14:paraId="28485A7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DOM             Document Object Model</w:t>
      </w:r>
    </w:p>
    <w:p w14:paraId="7AC23CD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DTO             Data Transfer Object</w:t>
      </w:r>
    </w:p>
    <w:p w14:paraId="08A5399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E2E             End-to-End</w:t>
      </w:r>
    </w:p>
    <w:p w14:paraId="459EE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ESISA           École Supérieure d'Ingénierie en Sciences Appliquées</w:t>
      </w:r>
    </w:p>
    <w:p w14:paraId="7B1A19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FK              Foreign Key (</w:t>
      </w:r>
      <w:proofErr w:type="spellStart"/>
      <w:r w:rsidRPr="009C1D24">
        <w:rPr>
          <w:rFonts w:ascii="Segoe UI" w:hAnsi="Segoe UI" w:cs="Segoe UI"/>
          <w:lang w:val="en-US"/>
        </w:rPr>
        <w:t>clé</w:t>
      </w:r>
      <w:proofErr w:type="spellEnd"/>
      <w:r w:rsidRPr="009C1D24">
        <w:rPr>
          <w:rFonts w:ascii="Segoe UI" w:hAnsi="Segoe UI" w:cs="Segoe UI"/>
          <w:lang w:val="en-US"/>
        </w:rPr>
        <w:t xml:space="preserve"> </w:t>
      </w:r>
      <w:proofErr w:type="spellStart"/>
      <w:r w:rsidRPr="009C1D24">
        <w:rPr>
          <w:rFonts w:ascii="Segoe UI" w:hAnsi="Segoe UI" w:cs="Segoe UI"/>
          <w:lang w:val="en-US"/>
        </w:rPr>
        <w:t>étrangère</w:t>
      </w:r>
      <w:proofErr w:type="spellEnd"/>
      <w:r w:rsidRPr="009C1D24">
        <w:rPr>
          <w:rFonts w:ascii="Segoe UI" w:hAnsi="Segoe UI" w:cs="Segoe UI"/>
          <w:lang w:val="en-US"/>
        </w:rPr>
        <w:t>)</w:t>
      </w:r>
    </w:p>
    <w:p w14:paraId="33609D1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GPS             Global Positioning System</w:t>
      </w:r>
    </w:p>
    <w:p w14:paraId="1C77640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HTML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Markup Language</w:t>
      </w:r>
    </w:p>
    <w:p w14:paraId="71F791BA" w14:textId="77777777" w:rsidR="009C1D24" w:rsidRDefault="009C1D24" w:rsidP="009C1D24">
      <w:pPr>
        <w:tabs>
          <w:tab w:val="left" w:pos="4097"/>
        </w:tabs>
        <w:jc w:val="both"/>
        <w:rPr>
          <w:rFonts w:ascii="Segoe UI" w:hAnsi="Segoe UI" w:cs="Segoe UI"/>
          <w:lang w:val="en-US"/>
        </w:rPr>
      </w:pPr>
    </w:p>
    <w:p w14:paraId="2B45573B" w14:textId="55712DD1"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w:t>
      </w:r>
    </w:p>
    <w:p w14:paraId="1E30417C"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HTTPS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 Secure</w:t>
      </w:r>
    </w:p>
    <w:p w14:paraId="3C4CFDB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IA              Intelligence Artificielle</w:t>
      </w:r>
    </w:p>
    <w:p w14:paraId="70AE8D9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IP              Internet Protocol</w:t>
      </w:r>
    </w:p>
    <w:p w14:paraId="737A4BC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JIT             Just-In-Time (agrégation des besoins au plus juste)</w:t>
      </w:r>
    </w:p>
    <w:p w14:paraId="35B998B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              JavaScript</w:t>
      </w:r>
    </w:p>
    <w:p w14:paraId="2C24575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JSON            JavaScript Object Notation</w:t>
      </w:r>
    </w:p>
    <w:p w14:paraId="093824B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JSONB           JavaScript Object Notation </w:t>
      </w:r>
      <w:proofErr w:type="spellStart"/>
      <w:r w:rsidRPr="009C1D24">
        <w:rPr>
          <w:rFonts w:ascii="Segoe UI" w:hAnsi="Segoe UI" w:cs="Segoe UI"/>
        </w:rPr>
        <w:t>Binary</w:t>
      </w:r>
      <w:proofErr w:type="spellEnd"/>
      <w:r w:rsidRPr="009C1D24">
        <w:rPr>
          <w:rFonts w:ascii="Segoe UI" w:hAnsi="Segoe UI" w:cs="Segoe UI"/>
        </w:rPr>
        <w:t xml:space="preserve"> (type JSON binaire de PostgreSQL)</w:t>
      </w:r>
    </w:p>
    <w:p w14:paraId="49E52E1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JWT             JSON Web Token</w:t>
      </w:r>
    </w:p>
    <w:p w14:paraId="7826D9C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KPI             Key Performance Indicator</w:t>
      </w:r>
    </w:p>
    <w:p w14:paraId="057CF5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LLM             Large </w:t>
      </w:r>
      <w:proofErr w:type="spellStart"/>
      <w:r w:rsidRPr="009C1D24">
        <w:rPr>
          <w:rFonts w:ascii="Segoe UI" w:hAnsi="Segoe UI" w:cs="Segoe UI"/>
        </w:rPr>
        <w:t>Language</w:t>
      </w:r>
      <w:proofErr w:type="spellEnd"/>
      <w:r w:rsidRPr="009C1D24">
        <w:rPr>
          <w:rFonts w:ascii="Segoe UI" w:hAnsi="Segoe UI" w:cs="Segoe UI"/>
        </w:rPr>
        <w:t xml:space="preserve"> Model</w:t>
      </w:r>
    </w:p>
    <w:p w14:paraId="25ED37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MCD             Modèle Conceptuel de Données</w:t>
      </w:r>
    </w:p>
    <w:p w14:paraId="187C8D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MLD             Modèle Logique de Données</w:t>
      </w:r>
    </w:p>
    <w:p w14:paraId="7D59020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              Machine Learning</w:t>
      </w:r>
    </w:p>
    <w:p w14:paraId="5AAEEF5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MVC             Model-View-Controller</w:t>
      </w:r>
    </w:p>
    <w:p w14:paraId="042032E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NPM             Node Package Manager</w:t>
      </w:r>
    </w:p>
    <w:p w14:paraId="624C682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OAuth           Open Authorization</w:t>
      </w:r>
    </w:p>
    <w:p w14:paraId="28459E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ORM             Object-Relational Mapping</w:t>
      </w:r>
    </w:p>
    <w:p w14:paraId="11D9B7C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OTP             One-Time </w:t>
      </w:r>
      <w:proofErr w:type="spellStart"/>
      <w:r w:rsidRPr="009C1D24">
        <w:rPr>
          <w:rFonts w:ascii="Segoe UI" w:hAnsi="Segoe UI" w:cs="Segoe UI"/>
        </w:rPr>
        <w:t>Password</w:t>
      </w:r>
      <w:proofErr w:type="spellEnd"/>
      <w:r w:rsidRPr="009C1D24">
        <w:rPr>
          <w:rFonts w:ascii="Segoe UI" w:hAnsi="Segoe UI" w:cs="Segoe UI"/>
        </w:rPr>
        <w:t xml:space="preserve"> (code de vérification à usage unique)</w:t>
      </w:r>
    </w:p>
    <w:p w14:paraId="686BD3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PFA             Projet de Fin d'Année</w:t>
      </w:r>
    </w:p>
    <w:p w14:paraId="0BA9A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PK              </w:t>
      </w:r>
      <w:proofErr w:type="spellStart"/>
      <w:r w:rsidRPr="009C1D24">
        <w:rPr>
          <w:rFonts w:ascii="Segoe UI" w:hAnsi="Segoe UI" w:cs="Segoe UI"/>
        </w:rPr>
        <w:t>Primary</w:t>
      </w:r>
      <w:proofErr w:type="spellEnd"/>
      <w:r w:rsidRPr="009C1D24">
        <w:rPr>
          <w:rFonts w:ascii="Segoe UI" w:hAnsi="Segoe UI" w:cs="Segoe UI"/>
        </w:rPr>
        <w:t xml:space="preserve"> Key (clé primaire)</w:t>
      </w:r>
    </w:p>
    <w:p w14:paraId="06256A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RAM             Random Access Memory</w:t>
      </w:r>
    </w:p>
    <w:p w14:paraId="64662DC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RBAC            </w:t>
      </w:r>
      <w:proofErr w:type="spellStart"/>
      <w:r w:rsidRPr="009C1D24">
        <w:rPr>
          <w:rFonts w:ascii="Segoe UI" w:hAnsi="Segoe UI" w:cs="Segoe UI"/>
        </w:rPr>
        <w:t>Role</w:t>
      </w:r>
      <w:proofErr w:type="spellEnd"/>
      <w:r w:rsidRPr="009C1D24">
        <w:rPr>
          <w:rFonts w:ascii="Segoe UI" w:hAnsi="Segoe UI" w:cs="Segoe UI"/>
        </w:rPr>
        <w:t>-Based Access Control (contrôle d'accès basé sur les rôles)</w:t>
      </w:r>
    </w:p>
    <w:p w14:paraId="76020DEC" w14:textId="77777777" w:rsidR="009C1D24" w:rsidRDefault="009C1D24" w:rsidP="009C1D24">
      <w:pPr>
        <w:tabs>
          <w:tab w:val="left" w:pos="4097"/>
        </w:tabs>
        <w:jc w:val="both"/>
        <w:rPr>
          <w:rFonts w:ascii="Segoe UI" w:hAnsi="Segoe UI" w:cs="Segoe UI"/>
        </w:rPr>
      </w:pPr>
    </w:p>
    <w:p w14:paraId="3EF76D22" w14:textId="419E6E80"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REST            </w:t>
      </w:r>
      <w:proofErr w:type="spellStart"/>
      <w:r w:rsidRPr="009C1D24">
        <w:rPr>
          <w:rFonts w:ascii="Segoe UI" w:hAnsi="Segoe UI" w:cs="Segoe UI"/>
        </w:rPr>
        <w:t>Representational</w:t>
      </w:r>
      <w:proofErr w:type="spellEnd"/>
      <w:r w:rsidRPr="009C1D24">
        <w:rPr>
          <w:rFonts w:ascii="Segoe UI" w:hAnsi="Segoe UI" w:cs="Segoe UI"/>
        </w:rPr>
        <w:t xml:space="preserve"> State Transfer</w:t>
      </w:r>
    </w:p>
    <w:p w14:paraId="352287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RGPD            Règlement Général sur la Protection des Données</w:t>
      </w:r>
    </w:p>
    <w:p w14:paraId="08B5CED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ROI             Return On Investment</w:t>
      </w:r>
    </w:p>
    <w:p w14:paraId="41CBBE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SaaS            Software as a Service</w:t>
      </w:r>
    </w:p>
    <w:p w14:paraId="405FE1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SDK             Software </w:t>
      </w:r>
      <w:proofErr w:type="spellStart"/>
      <w:r w:rsidRPr="009C1D24">
        <w:rPr>
          <w:rFonts w:ascii="Segoe UI" w:hAnsi="Segoe UI" w:cs="Segoe UI"/>
        </w:rPr>
        <w:t>Development</w:t>
      </w:r>
      <w:proofErr w:type="spellEnd"/>
      <w:r w:rsidRPr="009C1D24">
        <w:rPr>
          <w:rFonts w:ascii="Segoe UI" w:hAnsi="Segoe UI" w:cs="Segoe UI"/>
        </w:rPr>
        <w:t xml:space="preserve"> Kit</w:t>
      </w:r>
    </w:p>
    <w:p w14:paraId="395F6F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SIRET           Système d'Identification du Répertoire des Établissements</w:t>
      </w:r>
    </w:p>
    <w:p w14:paraId="1D49FEF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SMS             Short Message Service</w:t>
      </w:r>
    </w:p>
    <w:p w14:paraId="3AC6A8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SQL             Structured Query Language</w:t>
      </w:r>
    </w:p>
    <w:p w14:paraId="72399E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SSL             Secure Sockets Layer</w:t>
      </w:r>
    </w:p>
    <w:p w14:paraId="2776AA2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TCP             Transmission Control Protocol</w:t>
      </w:r>
    </w:p>
    <w:p w14:paraId="0E6A407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TLS             Transport Layer Security</w:t>
      </w:r>
    </w:p>
    <w:p w14:paraId="1D379B6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TVA             Taxe sur la Valeur Ajoutée</w:t>
      </w:r>
    </w:p>
    <w:p w14:paraId="795087A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UI              User Interface</w:t>
      </w:r>
    </w:p>
    <w:p w14:paraId="2171842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UML             Unified Modeling Language</w:t>
      </w:r>
    </w:p>
    <w:p w14:paraId="1AE704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URI             Uniform Resource Identifier</w:t>
      </w:r>
    </w:p>
    <w:p w14:paraId="2BA3033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URL             Uniform Resource Locator</w:t>
      </w:r>
    </w:p>
    <w:p w14:paraId="27BF922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UUID            Universally Unique Identifier</w:t>
      </w:r>
    </w:p>
    <w:p w14:paraId="7B57947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UX              User Experience</w:t>
      </w:r>
    </w:p>
    <w:p w14:paraId="69E7D4C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VPS             Virtual Private Server</w:t>
      </w:r>
    </w:p>
    <w:p w14:paraId="2903B909" w14:textId="7DDAA2A4" w:rsid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XML             </w:t>
      </w:r>
      <w:proofErr w:type="spellStart"/>
      <w:r w:rsidRPr="009C1D24">
        <w:rPr>
          <w:rFonts w:ascii="Segoe UI" w:hAnsi="Segoe UI" w:cs="Segoe UI"/>
          <w:lang w:val="en-US"/>
        </w:rPr>
        <w:t>eXtensible</w:t>
      </w:r>
      <w:proofErr w:type="spellEnd"/>
      <w:r w:rsidRPr="009C1D24">
        <w:rPr>
          <w:rFonts w:ascii="Segoe UI" w:hAnsi="Segoe UI" w:cs="Segoe UI"/>
          <w:lang w:val="en-US"/>
        </w:rPr>
        <w:t xml:space="preserve"> Markup Language</w:t>
      </w:r>
    </w:p>
    <w:p w14:paraId="540FE767" w14:textId="77777777" w:rsidR="009C1D24" w:rsidRDefault="009C1D24" w:rsidP="009C1D24">
      <w:pPr>
        <w:tabs>
          <w:tab w:val="left" w:pos="4097"/>
        </w:tabs>
        <w:jc w:val="both"/>
        <w:rPr>
          <w:rFonts w:ascii="Segoe UI" w:hAnsi="Segoe UI" w:cs="Segoe UI"/>
          <w:lang w:val="en-US"/>
        </w:rPr>
      </w:pPr>
    </w:p>
    <w:p w14:paraId="42456B17" w14:textId="77777777" w:rsidR="009C1D24" w:rsidRDefault="009C1D24" w:rsidP="009C1D24">
      <w:pPr>
        <w:tabs>
          <w:tab w:val="left" w:pos="4097"/>
        </w:tabs>
        <w:jc w:val="both"/>
        <w:rPr>
          <w:rFonts w:ascii="Segoe UI" w:hAnsi="Segoe UI" w:cs="Segoe UI"/>
          <w:lang w:val="en-US"/>
        </w:rPr>
      </w:pPr>
    </w:p>
    <w:p w14:paraId="7A99A559" w14:textId="77777777" w:rsidR="009C1D24" w:rsidRDefault="009C1D24" w:rsidP="009C1D24">
      <w:pPr>
        <w:tabs>
          <w:tab w:val="left" w:pos="4097"/>
        </w:tabs>
        <w:jc w:val="both"/>
        <w:rPr>
          <w:rFonts w:ascii="Segoe UI" w:hAnsi="Segoe UI" w:cs="Segoe UI"/>
          <w:lang w:val="en-US"/>
        </w:rPr>
      </w:pPr>
    </w:p>
    <w:p w14:paraId="25580DA5" w14:textId="77777777" w:rsidR="009C1D24" w:rsidRDefault="009C1D24" w:rsidP="009C1D24">
      <w:pPr>
        <w:tabs>
          <w:tab w:val="left" w:pos="4097"/>
        </w:tabs>
        <w:jc w:val="both"/>
        <w:rPr>
          <w:rFonts w:ascii="Segoe UI" w:hAnsi="Segoe UI" w:cs="Segoe UI"/>
          <w:lang w:val="en-US"/>
        </w:rPr>
      </w:pPr>
    </w:p>
    <w:p w14:paraId="7877074C" w14:textId="2F05AF51"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figures</w:t>
      </w:r>
    </w:p>
    <w:p w14:paraId="2FCD8BB3" w14:textId="77777777" w:rsidR="009C1D24" w:rsidRPr="009C1D24" w:rsidRDefault="009C1D24" w:rsidP="009C1D24">
      <w:pPr>
        <w:tabs>
          <w:tab w:val="left" w:pos="4097"/>
        </w:tabs>
        <w:jc w:val="both"/>
        <w:rPr>
          <w:rFonts w:ascii="Segoe UI" w:hAnsi="Segoe UI" w:cs="Segoe UI"/>
        </w:rPr>
      </w:pPr>
    </w:p>
    <w:p w14:paraId="7B751A08" w14:textId="77777777" w:rsidR="009C1D24" w:rsidRPr="009C1D24" w:rsidRDefault="009C1D24" w:rsidP="009C1D24">
      <w:pPr>
        <w:tabs>
          <w:tab w:val="left" w:pos="4097"/>
        </w:tabs>
        <w:jc w:val="both"/>
        <w:rPr>
          <w:rFonts w:ascii="Segoe UI" w:hAnsi="Segoe UI" w:cs="Segoe UI"/>
        </w:rPr>
      </w:pPr>
      <w:r>
        <w:t>Figure 1 : Logo et identité visuelle de SOUKI ........................................ 20</w:t>
      </w:r>
    </w:p>
    <w:p w14:paraId="56749419" w14:textId="77777777" w:rsidR="009C1D24" w:rsidRPr="009C1D24" w:rsidRDefault="009C1D24" w:rsidP="009C1D24">
      <w:pPr>
        <w:tabs>
          <w:tab w:val="left" w:pos="4097"/>
        </w:tabs>
        <w:jc w:val="both"/>
        <w:rPr>
          <w:rFonts w:ascii="Segoe UI" w:hAnsi="Segoe UI" w:cs="Segoe UI"/>
        </w:rPr>
      </w:pPr>
      <w:r>
        <w:t>Figure 2 : Fiche signalétique du projet SOUKI ........................................ 20</w:t>
      </w:r>
    </w:p>
    <w:p w14:paraId="51627233" w14:textId="77777777" w:rsidR="009C1D24" w:rsidRPr="009C1D24" w:rsidRDefault="009C1D24" w:rsidP="009C1D24">
      <w:pPr>
        <w:tabs>
          <w:tab w:val="left" w:pos="4097"/>
        </w:tabs>
        <w:jc w:val="both"/>
        <w:rPr>
          <w:rFonts w:ascii="Segoe UI" w:hAnsi="Segoe UI" w:cs="Segoe UI"/>
        </w:rPr>
      </w:pPr>
      <w:r>
        <w:t>Figure 3 : Chaîne d’approvisionnement traditionnelle vs modèle SOUKI ........................................ 21</w:t>
      </w:r>
    </w:p>
    <w:p w14:paraId="48C3F6AD" w14:textId="77777777" w:rsidR="009C1D24" w:rsidRPr="00354E34" w:rsidRDefault="009C1D24" w:rsidP="009C1D24">
      <w:pPr>
        <w:tabs>
          <w:tab w:val="left" w:pos="4097"/>
        </w:tabs>
        <w:jc w:val="both"/>
        <w:rPr>
          <w:rFonts w:ascii="Segoe UI" w:hAnsi="Segoe UI" w:cs="Segoe UI"/>
          <w:lang w:val="en-US"/>
        </w:rPr>
      </w:pPr>
      <w:r>
        <w:t>Figure 4 : Architecture fonctionnelle globale du système ........................................ 27</w:t>
      </w:r>
    </w:p>
    <w:p w14:paraId="20DB371F" w14:textId="77777777" w:rsidR="009C1D24" w:rsidRPr="00354E34" w:rsidRDefault="009C1D24" w:rsidP="009C1D24">
      <w:pPr>
        <w:tabs>
          <w:tab w:val="left" w:pos="4097"/>
        </w:tabs>
        <w:jc w:val="both"/>
        <w:rPr>
          <w:rFonts w:ascii="Segoe UI" w:hAnsi="Segoe UI" w:cs="Segoe UI"/>
          <w:lang w:val="en-US"/>
        </w:rPr>
      </w:pPr>
      <w:r>
        <w:t>Figure 5 : Architecture technique backend — FastAPI ........................................ 39</w:t>
      </w:r>
    </w:p>
    <w:p w14:paraId="14DE65CC" w14:textId="77777777" w:rsidR="009C1D24" w:rsidRPr="009C1D24" w:rsidRDefault="009C1D24" w:rsidP="009C1D24">
      <w:pPr>
        <w:tabs>
          <w:tab w:val="left" w:pos="4097"/>
        </w:tabs>
        <w:jc w:val="both"/>
        <w:rPr>
          <w:rFonts w:ascii="Segoe UI" w:hAnsi="Segoe UI" w:cs="Segoe UI"/>
        </w:rPr>
      </w:pPr>
      <w:r>
        <w:t>Figure 6 : Architecture technique frontend — Next.js / React ........................................ 40</w:t>
      </w:r>
    </w:p>
    <w:p w14:paraId="32F40C2A" w14:textId="77777777" w:rsidR="009C1D24" w:rsidRPr="009C1D24" w:rsidRDefault="009C1D24" w:rsidP="009C1D24">
      <w:pPr>
        <w:tabs>
          <w:tab w:val="left" w:pos="4097"/>
        </w:tabs>
        <w:jc w:val="both"/>
        <w:rPr>
          <w:rFonts w:ascii="Segoe UI" w:hAnsi="Segoe UI" w:cs="Segoe UI"/>
        </w:rPr>
      </w:pPr>
      <w:r>
        <w:t>Figure 7 : Architecture en couches du backend ........................................ 41</w:t>
      </w:r>
    </w:p>
    <w:p w14:paraId="578384EB" w14:textId="77777777" w:rsidR="009C1D24" w:rsidRPr="009C1D24" w:rsidRDefault="009C1D24" w:rsidP="009C1D24">
      <w:pPr>
        <w:tabs>
          <w:tab w:val="left" w:pos="4097"/>
        </w:tabs>
        <w:jc w:val="both"/>
        <w:rPr>
          <w:rFonts w:ascii="Segoe UI" w:hAnsi="Segoe UI" w:cs="Segoe UI"/>
        </w:rPr>
      </w:pPr>
      <w:r>
        <w:t>Figure 8 : Extrait du cas d’utilisation Client — authentification ........................................ 29</w:t>
      </w:r>
    </w:p>
    <w:p w14:paraId="6B8F0728" w14:textId="77777777" w:rsidR="009C1D24" w:rsidRPr="009C1D24" w:rsidRDefault="009C1D24" w:rsidP="009C1D24">
      <w:pPr>
        <w:tabs>
          <w:tab w:val="left" w:pos="4097"/>
        </w:tabs>
        <w:jc w:val="both"/>
        <w:rPr>
          <w:rFonts w:ascii="Segoe UI" w:hAnsi="Segoe UI" w:cs="Segoe UI"/>
        </w:rPr>
      </w:pPr>
      <w:r>
        <w:t>Figure 9 : Extrait du cas d’utilisation Client — commande ........................................ 30</w:t>
      </w:r>
    </w:p>
    <w:p w14:paraId="691276ED" w14:textId="77777777" w:rsidR="009C1D24" w:rsidRPr="009C1D24" w:rsidRDefault="009C1D24" w:rsidP="009C1D24">
      <w:pPr>
        <w:tabs>
          <w:tab w:val="left" w:pos="4097"/>
        </w:tabs>
        <w:jc w:val="both"/>
        <w:rPr>
          <w:rFonts w:ascii="Segoe UI" w:hAnsi="Segoe UI" w:cs="Segoe UI"/>
        </w:rPr>
      </w:pPr>
      <w:r>
        <w:t>Figure 10 : Extrait du cas d’utilisation Administrateur ........................................ 31</w:t>
      </w:r>
    </w:p>
    <w:p w14:paraId="0469436F" w14:textId="77777777" w:rsidR="009C1D24" w:rsidRPr="009C1D24" w:rsidRDefault="009C1D24" w:rsidP="009C1D24">
      <w:pPr>
        <w:tabs>
          <w:tab w:val="left" w:pos="4097"/>
        </w:tabs>
        <w:jc w:val="both"/>
        <w:rPr>
          <w:rFonts w:ascii="Segoe UI" w:hAnsi="Segoe UI" w:cs="Segoe UI"/>
        </w:rPr>
      </w:pPr>
      <w:r>
        <w:t>Figure 11 : Séquence d’inscription et de validation OTP ........................................ 32</w:t>
      </w:r>
    </w:p>
    <w:p w14:paraId="554CAAED" w14:textId="77777777" w:rsidR="009C1D24" w:rsidRPr="009C1D24" w:rsidRDefault="009C1D24" w:rsidP="009C1D24">
      <w:pPr>
        <w:tabs>
          <w:tab w:val="left" w:pos="4097"/>
        </w:tabs>
        <w:jc w:val="both"/>
        <w:rPr>
          <w:rFonts w:ascii="Segoe UI" w:hAnsi="Segoe UI" w:cs="Segoe UI"/>
        </w:rPr>
      </w:pPr>
      <w:r>
        <w:t>Figure 12 : Séquence du panier intelligent avec mécanisme de repli ........................................ 33</w:t>
      </w:r>
    </w:p>
    <w:p w14:paraId="79462960" w14:textId="77777777" w:rsidR="009C1D24" w:rsidRPr="009C1D24" w:rsidRDefault="009C1D24" w:rsidP="009C1D24">
      <w:pPr>
        <w:tabs>
          <w:tab w:val="left" w:pos="4097"/>
        </w:tabs>
        <w:jc w:val="both"/>
        <w:rPr>
          <w:rFonts w:ascii="Segoe UI" w:hAnsi="Segoe UI" w:cs="Segoe UI"/>
        </w:rPr>
      </w:pPr>
      <w:r>
        <w:t>Figure 13 : Séquence d’agrégation JIT régionale ........................................ 34</w:t>
      </w:r>
    </w:p>
    <w:p w14:paraId="13AE3B91" w14:textId="77777777" w:rsidR="009C1D24" w:rsidRPr="009C1D24" w:rsidRDefault="009C1D24" w:rsidP="009C1D24">
      <w:pPr>
        <w:tabs>
          <w:tab w:val="left" w:pos="4097"/>
        </w:tabs>
        <w:jc w:val="both"/>
        <w:rPr>
          <w:rFonts w:ascii="Segoe UI" w:hAnsi="Segoe UI" w:cs="Segoe UI"/>
        </w:rPr>
      </w:pPr>
      <w:r>
        <w:t>Figure 14 : Page d’accueil de l’application SOUKI ........................................ 35</w:t>
      </w:r>
    </w:p>
    <w:p w14:paraId="1E2FEE8A" w14:textId="77777777" w:rsidR="009C1D24" w:rsidRPr="009C1D24" w:rsidRDefault="009C1D24" w:rsidP="009C1D24">
      <w:pPr>
        <w:tabs>
          <w:tab w:val="left" w:pos="4097"/>
        </w:tabs>
        <w:jc w:val="both"/>
        <w:rPr>
          <w:rFonts w:ascii="Segoe UI" w:hAnsi="Segoe UI" w:cs="Segoe UI"/>
        </w:rPr>
      </w:pPr>
      <w:r>
        <w:t>Figure 15 : Catalogue et assistant de composition du panier ........................................ 36</w:t>
      </w:r>
    </w:p>
    <w:p w14:paraId="2FDED4D6" w14:textId="77777777" w:rsidR="009C1D24" w:rsidRPr="009C1D24" w:rsidRDefault="009C1D24" w:rsidP="009C1D24">
      <w:pPr>
        <w:tabs>
          <w:tab w:val="left" w:pos="4097"/>
        </w:tabs>
        <w:jc w:val="both"/>
        <w:rPr>
          <w:rFonts w:ascii="Segoe UI" w:hAnsi="Segoe UI" w:cs="Segoe UI"/>
        </w:rPr>
      </w:pPr>
      <w:r>
        <w:t>Figure 16 : Écran de sélection du profil de connexion ........................................ 44</w:t>
      </w:r>
    </w:p>
    <w:p w14:paraId="1297F222" w14:textId="77777777" w:rsidR="009C1D24" w:rsidRPr="009C1D24" w:rsidRDefault="009C1D24" w:rsidP="009C1D24">
      <w:pPr>
        <w:tabs>
          <w:tab w:val="left" w:pos="4097"/>
        </w:tabs>
        <w:jc w:val="both"/>
        <w:rPr>
          <w:rFonts w:ascii="Segoe UI" w:hAnsi="Segoe UI" w:cs="Segoe UI"/>
        </w:rPr>
      </w:pPr>
      <w:r>
        <w:t>Figure 17 : Écran de connexion au back-office ........................................ 37</w:t>
      </w:r>
    </w:p>
    <w:p w14:paraId="6A30B467" w14:textId="77777777" w:rsidR="009C1D24" w:rsidRPr="009C1D24" w:rsidRDefault="009C1D24" w:rsidP="009C1D24">
      <w:pPr>
        <w:tabs>
          <w:tab w:val="left" w:pos="4097"/>
        </w:tabs>
        <w:jc w:val="both"/>
        <w:rPr>
          <w:rFonts w:ascii="Segoe UI" w:hAnsi="Segoe UI" w:cs="Segoe UI"/>
        </w:rPr>
      </w:pPr>
      <w:r>
        <w:t>Figure 18 : Cas d’utilisation complet — Client ........................................ 62</w:t>
      </w:r>
    </w:p>
    <w:p w14:paraId="6985BA24" w14:textId="77777777" w:rsidR="009C1D24" w:rsidRPr="009C1D24" w:rsidRDefault="009C1D24" w:rsidP="009C1D24">
      <w:pPr>
        <w:tabs>
          <w:tab w:val="left" w:pos="4097"/>
        </w:tabs>
        <w:jc w:val="both"/>
        <w:rPr>
          <w:rFonts w:ascii="Segoe UI" w:hAnsi="Segoe UI" w:cs="Segoe UI"/>
        </w:rPr>
      </w:pPr>
      <w:r>
        <w:t>Figure 19 : Cas d’utilisation complet — Parent ........................................ 63</w:t>
      </w:r>
    </w:p>
    <w:p w14:paraId="4A42F867" w14:textId="77777777" w:rsidR="009C1D24" w:rsidRPr="009C1D24" w:rsidRDefault="009C1D24" w:rsidP="009C1D24">
      <w:pPr>
        <w:tabs>
          <w:tab w:val="left" w:pos="4097"/>
        </w:tabs>
        <w:jc w:val="both"/>
        <w:rPr>
          <w:rFonts w:ascii="Segoe UI" w:hAnsi="Segoe UI" w:cs="Segoe UI"/>
        </w:rPr>
      </w:pPr>
      <w:r>
        <w:t>Figure 20 : Cas d’utilisation complet — Fournisseur ........................................ 64</w:t>
      </w:r>
    </w:p>
    <w:p w14:paraId="609C30A0" w14:textId="77777777" w:rsidR="009C1D24" w:rsidRDefault="009C1D24" w:rsidP="009C1D24">
      <w:pPr>
        <w:tabs>
          <w:tab w:val="left" w:pos="4097"/>
        </w:tabs>
        <w:jc w:val="both"/>
        <w:rPr>
          <w:rFonts w:ascii="Segoe UI" w:hAnsi="Segoe UI" w:cs="Segoe UI"/>
        </w:rPr>
      </w:pPr>
      <w:r>
        <w:rPr>
          <w:rFonts w:ascii="Segoe UI" w:hAnsi="Segoe UI" w:cs="Segoe UI"/>
        </w:rPr>
        <w:lastRenderedPageBreak/>
        <w:t xml:space="preserve"> </w:t>
      </w:r>
    </w:p>
    <w:p w14:paraId="064074E4" w14:textId="73ECDB0B" w:rsidR="009C1D24" w:rsidRPr="009C1D24" w:rsidRDefault="009C1D24" w:rsidP="009C1D24">
      <w:pPr>
        <w:tabs>
          <w:tab w:val="left" w:pos="4097"/>
        </w:tabs>
        <w:jc w:val="both"/>
        <w:rPr>
          <w:rFonts w:ascii="Segoe UI" w:hAnsi="Segoe UI" w:cs="Segoe UI"/>
        </w:rPr>
      </w:pPr>
      <w:r>
        <w:t>Figure 21 : Cas d’utilisation complet — Livreur ........................................ 65</w:t>
      </w:r>
    </w:p>
    <w:p w14:paraId="71D110C3" w14:textId="77777777" w:rsidR="009C1D24" w:rsidRPr="009C1D24" w:rsidRDefault="009C1D24" w:rsidP="009C1D24">
      <w:pPr>
        <w:tabs>
          <w:tab w:val="left" w:pos="4097"/>
        </w:tabs>
        <w:jc w:val="both"/>
        <w:rPr>
          <w:rFonts w:ascii="Segoe UI" w:hAnsi="Segoe UI" w:cs="Segoe UI"/>
        </w:rPr>
      </w:pPr>
      <w:r>
        <w:t>Figure 22 : Cas d’utilisation complet — Administrateur ........................................ 65</w:t>
      </w:r>
    </w:p>
    <w:p w14:paraId="7C7D030B" w14:textId="77777777" w:rsidR="009C1D24" w:rsidRPr="009C1D24" w:rsidRDefault="009C1D24" w:rsidP="009C1D24">
      <w:pPr>
        <w:tabs>
          <w:tab w:val="left" w:pos="4097"/>
        </w:tabs>
        <w:jc w:val="both"/>
        <w:rPr>
          <w:rFonts w:ascii="Segoe UI" w:hAnsi="Segoe UI" w:cs="Segoe UI"/>
        </w:rPr>
      </w:pPr>
      <w:r>
        <w:t>Figure 23 : Séquence complète — Checkout et commande COD ........................................ 66</w:t>
      </w:r>
    </w:p>
    <w:p w14:paraId="62EAC716" w14:textId="77777777" w:rsidR="009C1D24" w:rsidRPr="009C1D24" w:rsidRDefault="009C1D24" w:rsidP="009C1D24">
      <w:pPr>
        <w:tabs>
          <w:tab w:val="left" w:pos="4097"/>
        </w:tabs>
        <w:jc w:val="both"/>
        <w:rPr>
          <w:rFonts w:ascii="Segoe UI" w:hAnsi="Segoe UI" w:cs="Segoe UI"/>
        </w:rPr>
      </w:pPr>
      <w:r>
        <w:t>Figure 24 : Séquence complète — Dispatch quotidien ........................................ 67</w:t>
      </w:r>
    </w:p>
    <w:p w14:paraId="63E48E34" w14:textId="77777777" w:rsidR="009C1D24" w:rsidRPr="009C1D24" w:rsidRDefault="009C1D24" w:rsidP="009C1D24">
      <w:pPr>
        <w:tabs>
          <w:tab w:val="left" w:pos="4097"/>
        </w:tabs>
        <w:jc w:val="both"/>
        <w:rPr>
          <w:rFonts w:ascii="Segoe UI" w:hAnsi="Segoe UI" w:cs="Segoe UI"/>
        </w:rPr>
      </w:pPr>
      <w:r>
        <w:t>Figure 25 : Séquence complète — Livraison et encaissement COD ........................................ 68</w:t>
      </w:r>
    </w:p>
    <w:p w14:paraId="52303A5B" w14:textId="77777777" w:rsidR="009C1D24" w:rsidRPr="009C1D24" w:rsidRDefault="009C1D24" w:rsidP="009C1D24">
      <w:pPr>
        <w:tabs>
          <w:tab w:val="left" w:pos="4097"/>
        </w:tabs>
        <w:jc w:val="both"/>
        <w:rPr>
          <w:rFonts w:ascii="Segoe UI" w:hAnsi="Segoe UI" w:cs="Segoe UI"/>
        </w:rPr>
      </w:pPr>
      <w:r>
        <w:t>Figure 26 : Diagramme de classes métier global ........................................ 69</w:t>
      </w:r>
    </w:p>
    <w:p w14:paraId="1F3B8A41" w14:textId="77777777" w:rsidR="009C1D24" w:rsidRPr="009C1D24" w:rsidRDefault="009C1D24" w:rsidP="009C1D24">
      <w:pPr>
        <w:tabs>
          <w:tab w:val="left" w:pos="4097"/>
        </w:tabs>
        <w:jc w:val="both"/>
        <w:rPr>
          <w:rFonts w:ascii="Segoe UI" w:hAnsi="Segoe UI" w:cs="Segoe UI"/>
        </w:rPr>
      </w:pPr>
      <w:r>
        <w:t>Figure 27 : Classes — Identité, profils et RBAC ........................................ 69</w:t>
      </w:r>
    </w:p>
    <w:p w14:paraId="4A33A73F" w14:textId="77777777" w:rsidR="009C1D24" w:rsidRPr="009C1D24" w:rsidRDefault="009C1D24" w:rsidP="009C1D24">
      <w:pPr>
        <w:tabs>
          <w:tab w:val="left" w:pos="4097"/>
        </w:tabs>
        <w:jc w:val="both"/>
        <w:rPr>
          <w:rFonts w:ascii="Segoe UI" w:hAnsi="Segoe UI" w:cs="Segoe UI"/>
        </w:rPr>
      </w:pPr>
      <w:r>
        <w:t>Figure 28 : Classes — Catalogue, paniers et commandes ........................................ 70</w:t>
      </w:r>
    </w:p>
    <w:p w14:paraId="3AA3E83D" w14:textId="77777777" w:rsidR="009C1D24" w:rsidRPr="009C1D24" w:rsidRDefault="009C1D24" w:rsidP="009C1D24">
      <w:pPr>
        <w:tabs>
          <w:tab w:val="left" w:pos="4097"/>
        </w:tabs>
        <w:jc w:val="both"/>
        <w:rPr>
          <w:rFonts w:ascii="Segoe UI" w:hAnsi="Segoe UI" w:cs="Segoe UI"/>
        </w:rPr>
      </w:pPr>
      <w:r>
        <w:t>Figure 29 : Classes — Fournisseurs et offres ........................................ 71</w:t>
      </w:r>
    </w:p>
    <w:p w14:paraId="3D114985" w14:textId="77777777" w:rsidR="009C1D24" w:rsidRPr="009C1D24" w:rsidRDefault="009C1D24" w:rsidP="009C1D24">
      <w:pPr>
        <w:tabs>
          <w:tab w:val="left" w:pos="4097"/>
        </w:tabs>
        <w:jc w:val="both"/>
        <w:rPr>
          <w:rFonts w:ascii="Segoe UI" w:hAnsi="Segoe UI" w:cs="Segoe UI"/>
        </w:rPr>
      </w:pPr>
      <w:r>
        <w:t>Figure 30 : Classes — JIT, dispatch et livraison ........................................ 71</w:t>
      </w:r>
    </w:p>
    <w:p w14:paraId="5B3E5998" w14:textId="77777777" w:rsidR="009C1D24" w:rsidRPr="009C1D24" w:rsidRDefault="009C1D24" w:rsidP="009C1D24">
      <w:pPr>
        <w:tabs>
          <w:tab w:val="left" w:pos="4097"/>
        </w:tabs>
        <w:jc w:val="both"/>
        <w:rPr>
          <w:rFonts w:ascii="Segoe UI" w:hAnsi="Segoe UI" w:cs="Segoe UI"/>
        </w:rPr>
      </w:pPr>
      <w:r>
        <w:t>Figure 31 : Classes — Paiement, Wallet, COD et SAV ........................................ 72</w:t>
      </w:r>
    </w:p>
    <w:p w14:paraId="01FFF3BD" w14:textId="77777777" w:rsidR="009C1D24" w:rsidRPr="009C1D24" w:rsidRDefault="009C1D24" w:rsidP="009C1D24">
      <w:pPr>
        <w:tabs>
          <w:tab w:val="left" w:pos="4097"/>
        </w:tabs>
        <w:jc w:val="both"/>
        <w:rPr>
          <w:rFonts w:ascii="Segoe UI" w:hAnsi="Segoe UI" w:cs="Segoe UI"/>
        </w:rPr>
      </w:pPr>
      <w:r>
        <w:t>Figure 32 : Modèle relationnel simplifié de SOUKI ........................................ 28</w:t>
      </w:r>
    </w:p>
    <w:p w14:paraId="6D0C7D53" w14:textId="77777777" w:rsidR="009C1D24" w:rsidRDefault="009C1D24" w:rsidP="009C1D24">
      <w:pPr>
        <w:tabs>
          <w:tab w:val="left" w:pos="4097"/>
        </w:tabs>
        <w:jc w:val="both"/>
        <w:rPr>
          <w:rFonts w:ascii="Segoe UI" w:hAnsi="Segoe UI" w:cs="Segoe UI"/>
        </w:rPr>
      </w:pPr>
    </w:p>
    <w:p w14:paraId="092A610B" w14:textId="77777777" w:rsidR="009C1D24" w:rsidRDefault="009C1D24" w:rsidP="009C1D24">
      <w:pPr>
        <w:tabs>
          <w:tab w:val="left" w:pos="4097"/>
        </w:tabs>
        <w:jc w:val="both"/>
        <w:rPr>
          <w:rFonts w:ascii="Segoe UI" w:hAnsi="Segoe UI" w:cs="Segoe UI"/>
        </w:rPr>
      </w:pPr>
    </w:p>
    <w:p w14:paraId="6AB959C6" w14:textId="77777777" w:rsidR="009C1D24" w:rsidRDefault="009C1D24" w:rsidP="009C1D24">
      <w:pPr>
        <w:tabs>
          <w:tab w:val="left" w:pos="4097"/>
        </w:tabs>
        <w:jc w:val="both"/>
        <w:rPr>
          <w:rFonts w:ascii="Segoe UI" w:hAnsi="Segoe UI" w:cs="Segoe UI"/>
        </w:rPr>
      </w:pPr>
    </w:p>
    <w:p w14:paraId="56EEF730" w14:textId="77777777" w:rsidR="009C1D24" w:rsidRDefault="009C1D24" w:rsidP="009C1D24">
      <w:pPr>
        <w:tabs>
          <w:tab w:val="left" w:pos="4097"/>
        </w:tabs>
        <w:jc w:val="both"/>
        <w:rPr>
          <w:rFonts w:ascii="Segoe UI" w:hAnsi="Segoe UI" w:cs="Segoe UI"/>
        </w:rPr>
      </w:pPr>
    </w:p>
    <w:p w14:paraId="6460A7EB" w14:textId="77777777" w:rsidR="009C1D24" w:rsidRDefault="009C1D24" w:rsidP="009C1D24">
      <w:pPr>
        <w:tabs>
          <w:tab w:val="left" w:pos="4097"/>
        </w:tabs>
        <w:jc w:val="both"/>
        <w:rPr>
          <w:rFonts w:ascii="Segoe UI" w:hAnsi="Segoe UI" w:cs="Segoe UI"/>
        </w:rPr>
      </w:pPr>
    </w:p>
    <w:p w14:paraId="62DD4E2D" w14:textId="77777777" w:rsidR="009C1D24" w:rsidRDefault="009C1D24" w:rsidP="009C1D24">
      <w:pPr>
        <w:tabs>
          <w:tab w:val="left" w:pos="4097"/>
        </w:tabs>
        <w:jc w:val="both"/>
        <w:rPr>
          <w:rFonts w:ascii="Segoe UI" w:hAnsi="Segoe UI" w:cs="Segoe UI"/>
        </w:rPr>
      </w:pPr>
    </w:p>
    <w:p w14:paraId="0E9333AE" w14:textId="77777777" w:rsidR="009C1D24" w:rsidRDefault="009C1D24" w:rsidP="009C1D24">
      <w:pPr>
        <w:tabs>
          <w:tab w:val="left" w:pos="4097"/>
        </w:tabs>
        <w:jc w:val="both"/>
        <w:rPr>
          <w:rFonts w:ascii="Segoe UI" w:hAnsi="Segoe UI" w:cs="Segoe UI"/>
        </w:rPr>
      </w:pPr>
    </w:p>
    <w:p w14:paraId="67988B0D" w14:textId="77777777" w:rsidR="009C1D24" w:rsidRDefault="009C1D24" w:rsidP="009C1D24">
      <w:pPr>
        <w:tabs>
          <w:tab w:val="left" w:pos="4097"/>
        </w:tabs>
        <w:jc w:val="both"/>
        <w:rPr>
          <w:rFonts w:ascii="Segoe UI" w:hAnsi="Segoe UI" w:cs="Segoe UI"/>
        </w:rPr>
      </w:pPr>
    </w:p>
    <w:p w14:paraId="50A6B183" w14:textId="77777777" w:rsidR="009C1D24" w:rsidRDefault="009C1D24" w:rsidP="009C1D24">
      <w:pPr>
        <w:tabs>
          <w:tab w:val="left" w:pos="4097"/>
        </w:tabs>
        <w:jc w:val="both"/>
        <w:rPr>
          <w:rFonts w:ascii="Segoe UI" w:hAnsi="Segoe UI" w:cs="Segoe UI"/>
        </w:rPr>
      </w:pPr>
    </w:p>
    <w:p w14:paraId="3C12E61D" w14:textId="77777777" w:rsidR="009C1D24" w:rsidRDefault="009C1D24" w:rsidP="009C1D24">
      <w:pPr>
        <w:tabs>
          <w:tab w:val="left" w:pos="4097"/>
        </w:tabs>
        <w:jc w:val="both"/>
        <w:rPr>
          <w:rFonts w:ascii="Segoe UI" w:hAnsi="Segoe UI" w:cs="Segoe UI"/>
        </w:rPr>
      </w:pPr>
    </w:p>
    <w:p w14:paraId="36FAAE15" w14:textId="77777777" w:rsidR="009C1D24" w:rsidRDefault="009C1D24" w:rsidP="009C1D24">
      <w:pPr>
        <w:tabs>
          <w:tab w:val="left" w:pos="4097"/>
        </w:tabs>
        <w:jc w:val="both"/>
        <w:rPr>
          <w:rFonts w:ascii="Segoe UI" w:hAnsi="Segoe UI" w:cs="Segoe UI"/>
        </w:rPr>
      </w:pPr>
    </w:p>
    <w:p w14:paraId="5CDDA79D" w14:textId="77777777" w:rsidR="009C1D24" w:rsidRDefault="009C1D24" w:rsidP="009C1D24">
      <w:pPr>
        <w:tabs>
          <w:tab w:val="left" w:pos="4097"/>
        </w:tabs>
        <w:jc w:val="both"/>
        <w:rPr>
          <w:rFonts w:ascii="Segoe UI" w:hAnsi="Segoe UI" w:cs="Segoe UI"/>
        </w:rPr>
      </w:pPr>
    </w:p>
    <w:p w14:paraId="05379F35" w14:textId="77777777" w:rsidR="009C1D24" w:rsidRDefault="009C1D24" w:rsidP="009C1D24">
      <w:pPr>
        <w:tabs>
          <w:tab w:val="left" w:pos="4097"/>
        </w:tabs>
        <w:jc w:val="both"/>
        <w:rPr>
          <w:rFonts w:ascii="Segoe UI" w:hAnsi="Segoe UI" w:cs="Segoe UI"/>
        </w:rPr>
      </w:pPr>
    </w:p>
    <w:p w14:paraId="49E75B70" w14:textId="77777777" w:rsidR="009C1D24" w:rsidRDefault="009C1D24" w:rsidP="009C1D24">
      <w:pPr>
        <w:tabs>
          <w:tab w:val="left" w:pos="4097"/>
        </w:tabs>
        <w:jc w:val="both"/>
        <w:rPr>
          <w:rFonts w:ascii="Segoe UI" w:hAnsi="Segoe UI" w:cs="Segoe UI"/>
        </w:rPr>
      </w:pPr>
    </w:p>
    <w:p w14:paraId="128D3353" w14:textId="77777777" w:rsidR="009C1D24" w:rsidRDefault="009C1D24" w:rsidP="009C1D24">
      <w:pPr>
        <w:tabs>
          <w:tab w:val="left" w:pos="4097"/>
        </w:tabs>
        <w:jc w:val="both"/>
        <w:rPr>
          <w:rFonts w:ascii="Segoe UI" w:hAnsi="Segoe UI" w:cs="Segoe UI"/>
        </w:rPr>
      </w:pPr>
    </w:p>
    <w:p w14:paraId="0C782318" w14:textId="77777777" w:rsidR="009C1D24" w:rsidRDefault="009C1D24" w:rsidP="009C1D24">
      <w:pPr>
        <w:tabs>
          <w:tab w:val="left" w:pos="4097"/>
        </w:tabs>
        <w:jc w:val="both"/>
        <w:rPr>
          <w:rFonts w:ascii="Segoe UI" w:hAnsi="Segoe UI" w:cs="Segoe UI"/>
        </w:rPr>
      </w:pPr>
    </w:p>
    <w:p w14:paraId="7358B382" w14:textId="77777777" w:rsidR="009C1D24" w:rsidRDefault="009C1D24" w:rsidP="009C1D24">
      <w:pPr>
        <w:tabs>
          <w:tab w:val="left" w:pos="4097"/>
        </w:tabs>
        <w:jc w:val="both"/>
        <w:rPr>
          <w:rFonts w:ascii="Segoe UI" w:hAnsi="Segoe UI" w:cs="Segoe UI"/>
        </w:rPr>
      </w:pPr>
    </w:p>
    <w:p w14:paraId="37636F2B" w14:textId="7A7EBCB8" w:rsidR="009C1D24" w:rsidRPr="009C1D24" w:rsidRDefault="009C1D24" w:rsidP="009C1D24">
      <w:pPr>
        <w:pStyle w:val="Titres"/>
        <w:jc w:val="left"/>
        <w:rPr>
          <w:rFonts w:ascii="Segoe UI" w:hAnsi="Segoe UI" w:cs="Segoe UI"/>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Tableaux</w:t>
      </w:r>
    </w:p>
    <w:p w14:paraId="7CAC92FE" w14:textId="77777777" w:rsidR="009C1D24" w:rsidRPr="009C1D24" w:rsidRDefault="009C1D24" w:rsidP="009C1D24">
      <w:pPr>
        <w:tabs>
          <w:tab w:val="left" w:pos="4097"/>
        </w:tabs>
        <w:jc w:val="both"/>
        <w:rPr>
          <w:rFonts w:ascii="Segoe UI" w:hAnsi="Segoe UI" w:cs="Segoe UI"/>
        </w:rPr>
      </w:pPr>
    </w:p>
    <w:p w14:paraId="03901A5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1 : Exigences non-fonctionnelles .................................................. XX</w:t>
      </w:r>
    </w:p>
    <w:p w14:paraId="4A4ECC5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2 : Comparaison des technologies backend .................................. XX</w:t>
      </w:r>
    </w:p>
    <w:p w14:paraId="4C0174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3 : Comparaison des technologies frontend ................................. XX</w:t>
      </w:r>
    </w:p>
    <w:p w14:paraId="6EE8D97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4 : Comparaison des bases de données ........................................ XX</w:t>
      </w:r>
    </w:p>
    <w:p w14:paraId="75EBA3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5 : Acteurs du système et leurs rôles .......................................... XX</w:t>
      </w:r>
    </w:p>
    <w:p w14:paraId="6BF661A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6 : Matrice des rôles et permissions (RBAC) ............................. XX</w:t>
      </w:r>
    </w:p>
    <w:p w14:paraId="660D4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7 : Dictionnaire de données (synthèse des tables) ....................... XX</w:t>
      </w:r>
    </w:p>
    <w:p w14:paraId="2573197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8 : Statuts du cycle de vie d'une commande ............................... XX</w:t>
      </w:r>
    </w:p>
    <w:p w14:paraId="4BA426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9 : Planning de développement par phase ................................... XX</w:t>
      </w:r>
    </w:p>
    <w:p w14:paraId="5F2EA7C7" w14:textId="736B67EC" w:rsidR="009C1D24" w:rsidRDefault="009C1D24" w:rsidP="009C1D24">
      <w:pPr>
        <w:tabs>
          <w:tab w:val="left" w:pos="4097"/>
        </w:tabs>
        <w:jc w:val="both"/>
        <w:rPr>
          <w:rFonts w:ascii="Segoe UI" w:hAnsi="Segoe UI" w:cs="Segoe UI"/>
        </w:rPr>
      </w:pPr>
      <w:r w:rsidRPr="009C1D24">
        <w:rPr>
          <w:rFonts w:ascii="Segoe UI" w:hAnsi="Segoe UI" w:cs="Segoe UI"/>
        </w:rPr>
        <w:t>Tableau 10 : Métriques de performance et de qualité .............................. XX</w:t>
      </w:r>
    </w:p>
    <w:p w14:paraId="2EA20119" w14:textId="77777777" w:rsidR="00424C18" w:rsidRDefault="00424C18" w:rsidP="009C1D24">
      <w:pPr>
        <w:tabs>
          <w:tab w:val="left" w:pos="4097"/>
        </w:tabs>
        <w:jc w:val="both"/>
        <w:rPr>
          <w:rFonts w:ascii="Segoe UI" w:hAnsi="Segoe UI" w:cs="Segoe UI"/>
        </w:rPr>
      </w:pPr>
    </w:p>
    <w:p w14:paraId="5BBD472B" w14:textId="77777777" w:rsidR="00424C18" w:rsidRDefault="00424C18" w:rsidP="009C1D24">
      <w:pPr>
        <w:tabs>
          <w:tab w:val="left" w:pos="4097"/>
        </w:tabs>
        <w:jc w:val="both"/>
        <w:rPr>
          <w:rFonts w:ascii="Segoe UI" w:hAnsi="Segoe UI" w:cs="Segoe UI"/>
        </w:rPr>
      </w:pPr>
    </w:p>
    <w:p w14:paraId="0BAF4587" w14:textId="77777777" w:rsidR="00424C18" w:rsidRDefault="00424C18" w:rsidP="009C1D24">
      <w:pPr>
        <w:tabs>
          <w:tab w:val="left" w:pos="4097"/>
        </w:tabs>
        <w:jc w:val="both"/>
        <w:rPr>
          <w:rFonts w:ascii="Segoe UI" w:hAnsi="Segoe UI" w:cs="Segoe UI"/>
        </w:rPr>
      </w:pPr>
    </w:p>
    <w:p w14:paraId="65C2F0F4" w14:textId="77777777" w:rsidR="00424C18" w:rsidRDefault="00424C18" w:rsidP="009C1D24">
      <w:pPr>
        <w:tabs>
          <w:tab w:val="left" w:pos="4097"/>
        </w:tabs>
        <w:jc w:val="both"/>
        <w:rPr>
          <w:rFonts w:ascii="Segoe UI" w:hAnsi="Segoe UI" w:cs="Segoe UI"/>
        </w:rPr>
      </w:pPr>
    </w:p>
    <w:p w14:paraId="36714B4D" w14:textId="77777777" w:rsidR="00424C18" w:rsidRDefault="00424C18" w:rsidP="009C1D24">
      <w:pPr>
        <w:tabs>
          <w:tab w:val="left" w:pos="4097"/>
        </w:tabs>
        <w:jc w:val="both"/>
        <w:rPr>
          <w:rFonts w:ascii="Segoe UI" w:hAnsi="Segoe UI" w:cs="Segoe UI"/>
        </w:rPr>
      </w:pPr>
    </w:p>
    <w:p w14:paraId="67720C3D" w14:textId="77777777" w:rsidR="00424C18" w:rsidRDefault="00424C18" w:rsidP="009C1D24">
      <w:pPr>
        <w:tabs>
          <w:tab w:val="left" w:pos="4097"/>
        </w:tabs>
        <w:jc w:val="both"/>
        <w:rPr>
          <w:rFonts w:ascii="Segoe UI" w:hAnsi="Segoe UI" w:cs="Segoe UI"/>
        </w:rPr>
      </w:pPr>
    </w:p>
    <w:p w14:paraId="1905370F" w14:textId="77777777" w:rsidR="00424C18" w:rsidRDefault="00424C18" w:rsidP="009C1D24">
      <w:pPr>
        <w:tabs>
          <w:tab w:val="left" w:pos="4097"/>
        </w:tabs>
        <w:jc w:val="both"/>
        <w:rPr>
          <w:rFonts w:ascii="Segoe UI" w:hAnsi="Segoe UI" w:cs="Segoe UI"/>
        </w:rPr>
      </w:pPr>
    </w:p>
    <w:p w14:paraId="2ED3138E" w14:textId="77777777" w:rsidR="00424C18" w:rsidRDefault="00424C18" w:rsidP="009C1D24">
      <w:pPr>
        <w:tabs>
          <w:tab w:val="left" w:pos="4097"/>
        </w:tabs>
        <w:jc w:val="both"/>
        <w:rPr>
          <w:rFonts w:ascii="Segoe UI" w:hAnsi="Segoe UI" w:cs="Segoe UI"/>
        </w:rPr>
      </w:pPr>
    </w:p>
    <w:p w14:paraId="4CF65199" w14:textId="77777777" w:rsidR="00424C18" w:rsidRPr="009C1D24" w:rsidRDefault="00424C18" w:rsidP="009C1D24">
      <w:pPr>
        <w:tabs>
          <w:tab w:val="left" w:pos="4097"/>
        </w:tabs>
        <w:jc w:val="both"/>
        <w:rPr>
          <w:rFonts w:ascii="Segoe UI" w:hAnsi="Segoe UI" w:cs="Segoe UI"/>
        </w:rPr>
      </w:pPr>
    </w:p>
    <w:p w14:paraId="28E1C8D9" w14:textId="77777777" w:rsidR="003C7528" w:rsidRPr="009C1D24" w:rsidRDefault="003C7528" w:rsidP="00610A60">
      <w:pPr>
        <w:tabs>
          <w:tab w:val="left" w:pos="4097"/>
        </w:tabs>
        <w:rPr>
          <w:rFonts w:ascii="Segoe UI" w:hAnsi="Segoe UI" w:cs="Segoe UI"/>
        </w:rPr>
      </w:pPr>
    </w:p>
    <w:p w14:paraId="1A3B3D81" w14:textId="1B8085B2" w:rsidR="00610A60" w:rsidRDefault="00610A60" w:rsidP="00610A60">
      <w:pPr>
        <w:tabs>
          <w:tab w:val="left" w:pos="4097"/>
        </w:tabs>
      </w:pPr>
    </w:p>
    <w:p w14:paraId="5C5F6475" w14:textId="4362696D" w:rsidR="00424C18" w:rsidRPr="00424C18" w:rsidRDefault="00424C18" w:rsidP="00424C18">
      <w:pPr>
        <w:pStyle w:val="Titres"/>
        <w:jc w:val="left"/>
        <w:rPr>
          <w:rFonts w:ascii="Segoe UI" w:hAnsi="Segoe UI" w:cs="Segoe UI"/>
          <w:color w:val="404040" w:themeColor="text1" w:themeTint="BF"/>
          <w:sz w:val="16"/>
          <w:szCs w:val="16"/>
        </w:rPr>
      </w:pPr>
      <w:r>
        <w:rPr>
          <w:rFonts w:ascii="Segoe UI" w:hAnsi="Segoe UI" w:cs="Segoe UI"/>
          <w:bCs/>
          <w:color w:val="0F4761" w:themeColor="accent1" w:themeShade="BF"/>
          <w:sz w:val="32"/>
          <w:szCs w:val="32"/>
          <w14:textFill>
            <w14:solidFill>
              <w14:schemeClr w14:val="accent1">
                <w14:lumMod w14:val="75000"/>
                <w14:lumMod w14:val="75000"/>
                <w14:lumOff w14:val="25000"/>
              </w14:schemeClr>
            </w14:solidFill>
          </w14:textFill>
        </w:rPr>
        <w:t xml:space="preserve">Introduction générale </w:t>
      </w:r>
    </w:p>
    <w:p w14:paraId="529DCF12"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Introduction Générale</w:t>
      </w:r>
    </w:p>
    <w:p w14:paraId="0B1DB4F7"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Maroc dispose d'un secteur agricole particulièrement riche, représentant une part significative de son économie nationale et constituant le principal moyen de subsistance de millions de familles rurales. Pourtant, malgré cette abondance productive, la chaîne d'approvisionnement des produits frais — fruits, légumes, herbes aromatiques — reste dominée par des circuits traditionnels longs, peu transparents, et sources de pertes importantes à chaque maillon. Le consommateur urbain marocain se retrouve ainsi contraint de choisir entre deux options imparfaites : se déplacer dans les souks traditionnels, chronophages et physiquement contraignants, ou recourir à des applications de livraison généralistes dont les marges élevées se répercutent directement sur le prix final.</w:t>
      </w:r>
    </w:p>
    <w:p w14:paraId="0DB42FE4"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C'est de cette problématique concrète, ancrée dans le quotidien des ménages marocains, qu'est né SOUKI — une plateforme web innovante qui repense de fond en comble la relation entre le consommateur urbain et les produits frais. En s'appuyant sur un modèle dit de "circuit court", SOUKI élimine les intermédiaires inutiles : les produits sont approvisionnés à l'aube directement auprès des grossistes, triés et conditionnés le matin même, puis livrés à domicile avant midi. Ce modèle "Zéro Gaspillage" (flux tendu / Just-In-Time) garantit à la fois la fraîcheur maximale des produits et une facture systématiquement inférieure aux prix du marché de détail.</w:t>
      </w:r>
    </w:p>
    <w:p w14:paraId="549DEE3B"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Sur le plan technologique, SOUKI adopte une architecture full-stack articulée autour de FastAPI/Python pour l’API, Next.js/React pour l’interface web et React Native/Expo pour l’application mobile. Le dépôt contient une authentification JWT avec OTP et Google OAuth, une autorisation RBAC, une commande texte ou vocale assistée par Gemini, un générateur de panier utilisant un modèle Gemma-2 distant avec repli local, une agrégation JIT planifiée à 20 h 00, ainsi qu’un dispatch automatique planifié à 21 h 35.</w:t>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
    <w:p w14:paraId="2407C718" w14:textId="77777777" w:rsidR="00424C18" w:rsidRDefault="00424C18" w:rsidP="00424C18">
      <w:pPr>
        <w:pStyle w:val="Titres"/>
        <w:jc w:val="left"/>
        <w:rPr>
          <w:rFonts w:ascii="Segoe UI" w:hAnsi="Segoe UI" w:cs="Segoe UI"/>
          <w:b w:val="0"/>
          <w:color w:val="404040" w:themeColor="text1" w:themeTint="BF"/>
        </w:rPr>
      </w:pPr>
    </w:p>
    <w:p w14:paraId="5FF460CE" w14:textId="77777777" w:rsidR="00424C18" w:rsidRDefault="00424C18" w:rsidP="00424C18">
      <w:pPr>
        <w:pStyle w:val="Titres"/>
        <w:jc w:val="left"/>
        <w:rPr>
          <w:rFonts w:ascii="Segoe UI" w:hAnsi="Segoe UI" w:cs="Segoe UI"/>
          <w:b w:val="0"/>
          <w:color w:val="404040" w:themeColor="text1" w:themeTint="BF"/>
        </w:rPr>
      </w:pPr>
    </w:p>
    <w:p w14:paraId="49C9344F" w14:textId="596DAF8C"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projet comprend également une réflexion économique fondée sur le flux tendu, la segmentation des produits et le contrôle des marges. Les valeurs de rentabilité présentes dans les documents internes constituent toutefois des scénarios prévisionnels : elles ne doivent pas être assimilées à des résultats commerciaux tant qu’elles n’ont pas été confirmées par des données réelles d’exploitation.</w:t>
      </w:r>
    </w:p>
    <w:p w14:paraId="46E8A399"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 rapport de Projet de Fin d'Années présente l'ensemble du parcours de conception, de réalisation et d'évaluation de cette solution. Il s'articule autour de sept chapitres complémentaires :</w:t>
      </w:r>
    </w:p>
    <w:p w14:paraId="65D909C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1 contextualise le secteur agroalimentaire marocain et définit la problématique à laquelle SOUKI répond.</w:t>
      </w:r>
    </w:p>
    <w:p w14:paraId="525A333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2 détaille l'analyse des besoins, l'état de l'art comparatif, et la conception globale du système (diagrammes UML, maquettes, architecture fonctionnelle).</w:t>
      </w:r>
    </w:p>
    <w:p w14:paraId="696CEB0D"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3 justifie les choix technologiques retenus pour le backend, le frontend, le mobile et les services tiers.</w:t>
      </w:r>
    </w:p>
    <w:p w14:paraId="12823288"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4 présente la réalisation concrète de chaque module fonctionnel, des captures d'écran à l'implémentation technique.</w:t>
      </w:r>
    </w:p>
    <w:p w14:paraId="27D958F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5 expose le modèle économique Lean Startup, la stratégie tarifaire et les projections financières.</w:t>
      </w:r>
    </w:p>
    <w:p w14:paraId="583688C4"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6 décrit la gestion de projet adoptée, la méthodologie Agile, et l'organisation de l'équipe.</w:t>
      </w:r>
    </w:p>
    <w:p w14:paraId="3F29B84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7 dresse un bilan objectif des résultats obtenus, des difficultés rencontrées et des compétences acquises.</w:t>
      </w:r>
    </w:p>
    <w:p w14:paraId="564817AC" w14:textId="31735018" w:rsid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Enfin, une conclusion générale ouvre des perspectives d'évolution pour SOUKI, notamment l'expansion géographique, le renforcement du modèle IA, et la structuration juridique en SARL pour accueillir des investisseurs.</w:t>
      </w:r>
    </w:p>
    <w:p w14:paraId="59881179" w14:textId="77777777" w:rsidR="00424C18" w:rsidRDefault="00424C18" w:rsidP="00424C18">
      <w:pPr>
        <w:pStyle w:val="Titres"/>
        <w:jc w:val="left"/>
        <w:rPr>
          <w:rFonts w:ascii="Segoe UI" w:hAnsi="Segoe UI" w:cs="Segoe UI"/>
          <w:b w:val="0"/>
          <w:color w:val="404040" w:themeColor="text1" w:themeTint="BF"/>
        </w:rPr>
      </w:pPr>
    </w:p>
    <w:p w14:paraId="65B32CC3" w14:textId="77777777" w:rsidR="008247F1" w:rsidRDefault="008247F1" w:rsidP="00424C18">
      <w:pPr>
        <w:pStyle w:val="Titres"/>
        <w:jc w:val="left"/>
        <w:rPr>
          <w:rFonts w:ascii="Segoe UI" w:hAnsi="Segoe UI" w:cs="Segoe UI"/>
          <w:b w:val="0"/>
          <w:color w:val="404040" w:themeColor="text1" w:themeTint="BF"/>
        </w:rPr>
      </w:pPr>
    </w:p>
    <w:p w14:paraId="32863E5C" w14:textId="77777777" w:rsidR="008247F1" w:rsidRPr="00424C18" w:rsidRDefault="008247F1" w:rsidP="00424C18">
      <w:pPr>
        <w:pStyle w:val="Titres"/>
        <w:jc w:val="left"/>
        <w:rPr>
          <w:rFonts w:ascii="Segoe UI" w:hAnsi="Segoe UI" w:cs="Segoe UI"/>
          <w:b w:val="0"/>
          <w:color w:val="404040" w:themeColor="text1" w:themeTint="BF"/>
        </w:rPr>
      </w:pPr>
    </w:p>
    <w:p w14:paraId="44FA331D" w14:textId="77777777" w:rsidR="00424C18" w:rsidRDefault="00424C18" w:rsidP="00424C18">
      <w:pPr>
        <w:pStyle w:val="Titres"/>
        <w:jc w:val="left"/>
        <w:rPr>
          <w:rFonts w:ascii="Segoe UI" w:hAnsi="Segoe UI" w:cs="Segoe UI"/>
          <w:color w:val="000000" w:themeColor="text1"/>
          <w:sz w:val="16"/>
          <w:szCs w:val="16"/>
        </w:rPr>
      </w:pPr>
    </w:p>
    <w:p w14:paraId="0F4A7892" w14:textId="77777777" w:rsidR="008247F1" w:rsidRDefault="008247F1" w:rsidP="00424C18">
      <w:pPr>
        <w:pStyle w:val="Titres"/>
        <w:jc w:val="left"/>
        <w:rPr>
          <w:rFonts w:ascii="Segoe UI" w:hAnsi="Segoe UI" w:cs="Segoe UI"/>
          <w:color w:val="000000" w:themeColor="text1"/>
          <w:sz w:val="16"/>
          <w:szCs w:val="16"/>
        </w:rPr>
      </w:pPr>
    </w:p>
    <w:p w14:paraId="1B5145CB" w14:textId="77777777" w:rsidR="008247F1" w:rsidRDefault="008247F1" w:rsidP="00424C18">
      <w:pPr>
        <w:pStyle w:val="Titres"/>
        <w:jc w:val="left"/>
        <w:rPr>
          <w:rFonts w:ascii="Segoe UI" w:hAnsi="Segoe UI" w:cs="Segoe UI"/>
          <w:color w:val="000000" w:themeColor="text1"/>
          <w:sz w:val="16"/>
          <w:szCs w:val="16"/>
        </w:rPr>
      </w:pPr>
    </w:p>
    <w:p w14:paraId="507E10D5" w14:textId="77777777" w:rsidR="008247F1" w:rsidRDefault="008247F1" w:rsidP="00424C18">
      <w:pPr>
        <w:pStyle w:val="Titres"/>
        <w:jc w:val="left"/>
        <w:rPr>
          <w:rFonts w:ascii="Segoe UI" w:hAnsi="Segoe UI" w:cs="Segoe UI"/>
          <w:color w:val="000000" w:themeColor="text1"/>
          <w:sz w:val="16"/>
          <w:szCs w:val="16"/>
        </w:rPr>
      </w:pPr>
    </w:p>
    <w:p w14:paraId="54FF6FE7" w14:textId="77777777" w:rsidR="008247F1" w:rsidRDefault="008247F1" w:rsidP="00424C18">
      <w:pPr>
        <w:pStyle w:val="Titres"/>
        <w:jc w:val="left"/>
        <w:rPr>
          <w:rFonts w:ascii="Segoe UI" w:hAnsi="Segoe UI" w:cs="Segoe UI"/>
          <w:color w:val="000000" w:themeColor="text1"/>
          <w:sz w:val="16"/>
          <w:szCs w:val="16"/>
        </w:rPr>
      </w:pPr>
    </w:p>
    <w:p w14:paraId="2A0920D9" w14:textId="77777777" w:rsidR="008247F1" w:rsidRDefault="008247F1" w:rsidP="00424C18">
      <w:pPr>
        <w:pStyle w:val="Titres"/>
        <w:jc w:val="left"/>
        <w:rPr>
          <w:rFonts w:ascii="Segoe UI" w:hAnsi="Segoe UI" w:cs="Segoe UI"/>
          <w:color w:val="000000" w:themeColor="text1"/>
          <w:sz w:val="16"/>
          <w:szCs w:val="16"/>
        </w:rPr>
      </w:pPr>
    </w:p>
    <w:p w14:paraId="51FB99B4" w14:textId="77777777" w:rsidR="008247F1" w:rsidRDefault="008247F1" w:rsidP="00424C18">
      <w:pPr>
        <w:pStyle w:val="Titres"/>
        <w:jc w:val="left"/>
        <w:rPr>
          <w:rFonts w:ascii="Segoe UI" w:hAnsi="Segoe UI" w:cs="Segoe UI"/>
          <w:color w:val="000000" w:themeColor="text1"/>
          <w:sz w:val="16"/>
          <w:szCs w:val="16"/>
        </w:rPr>
      </w:pPr>
    </w:p>
    <w:p w14:paraId="44995F2B" w14:textId="77777777" w:rsidR="008247F1" w:rsidRPr="00424C18" w:rsidRDefault="008247F1" w:rsidP="00424C18">
      <w:pPr>
        <w:pStyle w:val="Titres"/>
        <w:jc w:val="left"/>
        <w:rPr>
          <w:rFonts w:ascii="Segoe UI" w:hAnsi="Segoe UI" w:cs="Segoe UI"/>
          <w:color w:val="000000" w:themeColor="text1"/>
          <w:sz w:val="16"/>
          <w:szCs w:val="16"/>
        </w:rPr>
      </w:pPr>
    </w:p>
    <w:p w14:paraId="38D48F1D" w14:textId="3DEF868F" w:rsidR="008247F1" w:rsidRPr="008247F1" w:rsidRDefault="008247F1" w:rsidP="008247F1">
      <w:pPr>
        <w:pStyle w:val="chapitre"/>
        <w:rPr>
          <w:color w:val="215E99" w:themeColor="text2" w:themeTint="BF"/>
          <w:sz w:val="36"/>
          <w:szCs w:val="36"/>
        </w:rPr>
      </w:pPr>
      <w:r w:rsidRPr="008247F1">
        <w:rPr>
          <w:color w:val="215E99" w:themeColor="text2" w:themeTint="BF"/>
        </w:rPr>
        <w:t>Chapitre I : Contexte et problématique</w:t>
      </w:r>
    </w:p>
    <w:p w14:paraId="7C65EA13" w14:textId="77777777" w:rsidR="00424C18" w:rsidRPr="009C1D24" w:rsidRDefault="00424C18" w:rsidP="00610A60">
      <w:pPr>
        <w:tabs>
          <w:tab w:val="left" w:pos="4097"/>
        </w:tabs>
      </w:pPr>
    </w:p>
    <w:p>
      <w:pPr>
        <w:pStyle w:val="Heading1"/>
      </w:pPr>
      <w:r>
        <w:t>Introduction</w:t>
      </w:r>
    </w:p>
    <w:p>
      <w:pPr>
        <w:jc w:val="both"/>
      </w:pPr>
      <w:r>
        <w:t>Ce chapitre situe le projet SOUKI dans son contexte métier et précise le problème auquel répond la solution. L’analyse est volontairement séparée de l’évaluation économique : les éléments techniques sont vérifiés dans le dépôt, tandis que les données de marché et les hypothèses financières devront être consolidées par une étude terrain.</w:t>
      </w:r>
    </w:p>
    <w:p>
      <w:pPr>
        <w:pStyle w:val="Heading1"/>
      </w:pPr>
      <w:r>
        <w:t>1.1 Présentation du secteur agroalimentaire au Maroc</w:t>
      </w:r>
    </w:p>
    <w:p>
      <w:pPr>
        <w:jc w:val="both"/>
      </w:pPr>
      <w:r>
        <w:t>Les fruits et légumes frais occupent une place centrale dans les habitudes de consommation marocaines. Leur distribution repose sur une succession d’acteurs — producteurs, marchés de gros, détaillants, transporteurs et points de vente — dont la coordination influence le prix, la fraîcheur et la disponibilité. Pour une plateforme numérique, la difficulté ne se limite donc pas à afficher un catalogue : elle consiste à synchroniser la demande, l’achat, la préparation et la livraison de produits périssables.</w:t>
      </w:r>
    </w:p>
    <w:p>
      <w:pPr>
        <w:jc w:val="both"/>
      </w:pPr>
      <w:r>
        <w:t>SOUKI aborde ce contexte comme un problème de système d’information logistique. Le code contient des modèles dédiés aux produits, paniers, commandes, fournisseurs, zones JIT, tournées, livreurs, paiements et événements de livraison. Cette modélisation confirme que le projet traite simultanément le parcours commercial et l’exécution opérationnelle.</w:t>
      </w:r>
    </w:p>
    <w:p>
      <w:pPr>
        <w:spacing w:before="160" w:after="160"/>
        <w:jc w:val="center"/>
      </w:pPr>
      <w:r>
        <w:rPr>
          <w:b/>
          <w:color w:val="C00000"/>
        </w:rPr>
        <w:t>[À FAIRE : INSÉRER ICI UNE SOURCE STATISTIQUE OFFICIELLE RÉCENTE SUR LE SECTEUR AGRICOLE MAROCAIN]</w:t>
      </w:r>
    </w:p>
    <w:p>
      <w:pPr>
        <w:pStyle w:val="Heading1"/>
      </w:pPr>
      <w:r>
        <w:t>1.2 Problématique : le compromis frais / prix / temps</w:t>
      </w:r>
    </w:p>
    <w:p>
      <w:pPr>
        <w:jc w:val="both"/>
      </w:pPr>
      <w:r>
        <w:t>L’utilisateur urbain recherche trois bénéfices qui peuvent entrer en tension : recevoir des produits frais, payer un prix maîtrisé et réduire le temps consacré à l’achat. Un stock important facilite la disponibilité mais augmente le risque d’invendus ; un approvisionnement tardif réduit ce risque mais impose une coordination stricte des commandes ; une livraison rapide devient coûteuse si les tournées sont peu denses.</w:t>
      </w:r>
    </w:p>
    <w:p>
      <w:pPr>
        <w:jc w:val="both"/>
      </w:pPr>
      <w:r>
        <w:t>La problématique retenue est ainsi formulée : comment concevoir une plateforme capable de collecter les demandes, de les transformer en besoins d’approvisionnement, d’affecter les commandes à des fournisseurs et à des livreurs, puis de suivre leur exécution tout en conservant la traçabilité des décisions ?</w:t>
      </w:r>
    </w:p>
    <w:p>
      <w:pPr>
        <w:pStyle w:val="Heading1"/>
      </w:pPr>
      <w:r>
        <w:t>1.3 Solution proposée : SOUKI</w:t>
      </w:r>
    </w:p>
    <w:p>
      <w:pPr>
        <w:spacing w:before="120" w:after="60"/>
        <w:jc w:val="center"/>
      </w:pPr>
      <w:r>
        <w:drawing>
          <wp:inline xmlns:a="http://schemas.openxmlformats.org/drawingml/2006/main" xmlns:pic="http://schemas.openxmlformats.org/drawingml/2006/picture">
            <wp:extent cx="5652000" cy="3297000"/>
            <wp:docPr id="2126421161" name="Picture 2126421161"/>
            <wp:cNvGraphicFramePr>
              <a:graphicFrameLocks noChangeAspect="1"/>
            </wp:cNvGraphicFramePr>
            <a:graphic>
              <a:graphicData uri="http://schemas.openxmlformats.org/drawingml/2006/picture">
                <pic:pic>
                  <pic:nvPicPr>
                    <pic:cNvPr id="0" name="figure01_identite.png"/>
                    <pic:cNvPicPr/>
                  </pic:nvPicPr>
                  <pic:blipFill>
                    <a:blip r:embed="rId11"/>
                    <a:stretch>
                      <a:fillRect/>
                    </a:stretch>
                  </pic:blipFill>
                  <pic:spPr>
                    <a:xfrm>
                      <a:off x="0" y="0"/>
                      <a:ext cx="5652000" cy="3297000"/>
                    </a:xfrm>
                    <a:prstGeom prst="rect"/>
                  </pic:spPr>
                </pic:pic>
              </a:graphicData>
            </a:graphic>
          </wp:inline>
        </w:drawing>
      </w:r>
    </w:p>
    <w:p>
      <w:pPr>
        <w:spacing w:after="160"/>
        <w:jc w:val="center"/>
      </w:pPr>
      <w:r>
        <w:rPr>
          <w:rFonts w:ascii="Times New Roman" w:hAnsi="Times New Roman"/>
          <w:i/>
          <w:color w:val="3C3C3C"/>
          <w:sz w:val="20"/>
        </w:rPr>
        <w:t>Figure 1 : Logo et identité visuelle de SOUKI</w:t>
      </w:r>
    </w:p>
    <w:p>
      <w:pPr>
        <w:spacing w:before="120" w:after="60"/>
        <w:jc w:val="center"/>
      </w:pPr>
      <w:r>
        <w:drawing>
          <wp:inline xmlns:a="http://schemas.openxmlformats.org/drawingml/2006/main" xmlns:pic="http://schemas.openxmlformats.org/drawingml/2006/picture">
            <wp:extent cx="5652000" cy="3297000"/>
            <wp:docPr id="2126421162" name="Picture 2126421162"/>
            <wp:cNvGraphicFramePr>
              <a:graphicFrameLocks noChangeAspect="1"/>
            </wp:cNvGraphicFramePr>
            <a:graphic>
              <a:graphicData uri="http://schemas.openxmlformats.org/drawingml/2006/picture">
                <pic:pic>
                  <pic:nvPicPr>
                    <pic:cNvPr id="0" name="figure02_fiche_projet.png"/>
                    <pic:cNvPicPr/>
                  </pic:nvPicPr>
                  <pic:blipFill>
                    <a:blip r:embed="rId12"/>
                    <a:stretch>
                      <a:fillRect/>
                    </a:stretch>
                  </pic:blipFill>
                  <pic:spPr>
                    <a:xfrm>
                      <a:off x="0" y="0"/>
                      <a:ext cx="5652000" cy="3297000"/>
                    </a:xfrm>
                    <a:prstGeom prst="rect"/>
                  </pic:spPr>
                </pic:pic>
              </a:graphicData>
            </a:graphic>
          </wp:inline>
        </w:drawing>
      </w:r>
    </w:p>
    <w:p>
      <w:pPr>
        <w:spacing w:after="160"/>
        <w:jc w:val="center"/>
      </w:pPr>
      <w:r>
        <w:rPr>
          <w:rFonts w:ascii="Times New Roman" w:hAnsi="Times New Roman"/>
          <w:i/>
          <w:color w:val="3C3C3C"/>
          <w:sz w:val="20"/>
        </w:rPr>
        <w:t>Figure 2 : Fiche signalétique du projet SOUKI</w:t>
      </w:r>
    </w:p>
    <w:p>
      <w:pPr>
        <w:jc w:val="both"/>
      </w:pPr>
      <w:r>
        <w:t>SOUKI propose une chaîne numérique intégrée. Le client consulte un catalogue, constitue un panier manuellement ou à l’aide d’une saisie intelligente, choisit une adresse et valide son checkout. Les commandes confirmées sont agrégées par le processus JIT ; elles peuvent être rattachées à une zone et à un fournisseur, verrouillées, puis intégrées dans des tournées. Le livreur enregistre les événements opérationnels et le back-office supervise commandes, clients, fournisseurs, tarification, exceptions et indicateurs.</w:t>
      </w:r>
    </w:p>
    <w:p>
      <w:pPr>
        <w:jc w:val="both"/>
      </w:pPr>
      <w:r>
        <w:t>La solution n’est pas uniquement une vitrine e-commerce. Son intérêt réside dans la continuité entre l’intention d’achat et les opérations logistiques, continuité matérialisée par les services backend, les états de commande et les relations de la base PostgreSQL.</w:t>
      </w:r>
    </w:p>
    <w:p>
      <w:pPr>
        <w:spacing w:before="120" w:after="60"/>
        <w:jc w:val="center"/>
      </w:pPr>
      <w:r>
        <w:drawing>
          <wp:inline xmlns:a="http://schemas.openxmlformats.org/drawingml/2006/main" xmlns:pic="http://schemas.openxmlformats.org/drawingml/2006/picture">
            <wp:extent cx="5688000" cy="3318000"/>
            <wp:docPr id="2126421163" name="Picture 2126421163"/>
            <wp:cNvGraphicFramePr>
              <a:graphicFrameLocks noChangeAspect="1"/>
            </wp:cNvGraphicFramePr>
            <a:graphic>
              <a:graphicData uri="http://schemas.openxmlformats.org/drawingml/2006/picture">
                <pic:pic>
                  <pic:nvPicPr>
                    <pic:cNvPr id="0" name="figure03_chaine_approvisionnement.png"/>
                    <pic:cNvPicPr/>
                  </pic:nvPicPr>
                  <pic:blipFill>
                    <a:blip r:embed="rId13"/>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3 : Chaîne d’approvisionnement traditionnelle vs modèle SOUKI</w:t>
      </w:r>
    </w:p>
    <w:p>
      <w:pPr>
        <w:pStyle w:val="Heading1"/>
      </w:pPr>
      <w:r>
        <w:t>1.4 Objectifs du projet</w:t>
      </w:r>
    </w:p>
    <w:p>
      <w:pPr>
        <w:pStyle w:val="Heading2"/>
      </w:pPr>
      <w:r>
        <w:t>1.4.1 Objectifs techniques</w:t>
      </w:r>
    </w:p>
    <w:p>
      <w:pPr>
        <w:ind w:left="340" w:hanging="198"/>
      </w:pPr>
      <w:r>
        <w:rPr>
          <w:b/>
        </w:rPr>
        <w:t xml:space="preserve">• </w:t>
      </w:r>
      <w:r>
        <w:t>Construire une API modulaire séparant contrôleurs, services, DAO, DTO et entités.</w:t>
      </w:r>
    </w:p>
    <w:p>
      <w:pPr>
        <w:ind w:left="340" w:hanging="198"/>
      </w:pPr>
      <w:r>
        <w:rPr>
          <w:b/>
        </w:rPr>
        <w:t xml:space="preserve">• </w:t>
      </w:r>
      <w:r>
        <w:t>Fournir une interface web responsive et une application mobile partageant les mêmes contrats métier.</w:t>
      </w:r>
    </w:p>
    <w:p>
      <w:pPr>
        <w:ind w:left="340" w:hanging="198"/>
      </w:pPr>
      <w:r>
        <w:rPr>
          <w:b/>
        </w:rPr>
        <w:t xml:space="preserve">• </w:t>
      </w:r>
      <w:r>
        <w:t>Sécuriser l’accès par JWT, OTP, Google OAuth et contrôle d’accès fondé sur les rôles et permissions.</w:t>
      </w:r>
    </w:p>
    <w:p>
      <w:pPr>
        <w:ind w:left="340" w:hanging="198"/>
      </w:pPr>
      <w:r>
        <w:rPr>
          <w:b/>
        </w:rPr>
        <w:t xml:space="preserve">• </w:t>
      </w:r>
      <w:r>
        <w:t>Automatiser l’agrégation JIT, le verrouillage des commandes et la génération des tournées.</w:t>
      </w:r>
    </w:p>
    <w:p>
      <w:pPr>
        <w:ind w:left="340" w:hanging="198"/>
      </w:pPr>
      <w:r>
        <w:rPr>
          <w:b/>
        </w:rPr>
        <w:t xml:space="preserve">• </w:t>
      </w:r>
      <w:r>
        <w:t>Conserver une traçabilité des sessions, paiements COD, événements de livraison, réclamations et exécutions JIT.</w:t>
      </w:r>
    </w:p>
    <w:p>
      <w:pPr>
        <w:pStyle w:val="Heading2"/>
      </w:pPr>
      <w:r>
        <w:t>1.4.2 Objectifs fonctionnels et business</w:t>
      </w:r>
    </w:p>
    <w:p>
      <w:pPr>
        <w:ind w:left="340" w:hanging="198"/>
      </w:pPr>
      <w:r>
        <w:rPr>
          <w:b/>
        </w:rPr>
        <w:t xml:space="preserve">• </w:t>
      </w:r>
      <w:r>
        <w:t>Simplifier la commande de produits frais depuis un catalogue numérique.</w:t>
      </w:r>
    </w:p>
    <w:p>
      <w:pPr>
        <w:ind w:left="340" w:hanging="198"/>
      </w:pPr>
      <w:r>
        <w:rPr>
          <w:b/>
        </w:rPr>
        <w:t xml:space="preserve">• </w:t>
      </w:r>
      <w:r>
        <w:t>Permettre la saisie manuelle, textuelle ou vocale d’un besoin.</w:t>
      </w:r>
    </w:p>
    <w:p>
      <w:pPr>
        <w:ind w:left="340" w:hanging="198"/>
      </w:pPr>
      <w:r>
        <w:rPr>
          <w:b/>
        </w:rPr>
        <w:t xml:space="preserve">• </w:t>
      </w:r>
      <w:r>
        <w:t>Donner aux fournisseurs, livreurs et administrateurs des espaces adaptés à leurs responsabilités.</w:t>
      </w:r>
    </w:p>
    <w:p>
      <w:pPr>
        <w:ind w:left="340" w:hanging="198"/>
      </w:pPr>
      <w:r>
        <w:rPr>
          <w:b/>
        </w:rPr>
        <w:t xml:space="preserve">• </w:t>
      </w:r>
      <w:r>
        <w:t>Réduire l’incertitude d’approvisionnement grâce à l’agrégation des demandes.</w:t>
      </w:r>
    </w:p>
    <w:p>
      <w:pPr>
        <w:ind w:left="340" w:hanging="198"/>
      </w:pPr>
      <w:r>
        <w:rPr>
          <w:b/>
        </w:rPr>
        <w:t xml:space="preserve">• </w:t>
      </w:r>
      <w:r>
        <w:t>Tester un modèle économique de flux tendu ; les marges et seuils restent des hypothèses à valider sur le terrain.</w:t>
      </w:r>
    </w:p>
    <w:p>
      <w:pPr>
        <w:pStyle w:val="Heading1"/>
      </w:pPr>
      <w:r>
        <w:t>Conclusion</w:t>
      </w:r>
    </w:p>
    <w:p>
      <w:pPr>
        <w:jc w:val="both"/>
      </w:pPr>
      <w:r>
        <w:t>Le contexte justifie une solution qui coordonne commerce électronique et logistique de produits périssables. Le chapitre suivant transforme cette intention en besoins, risques, architectures et modèles de données vérifiables.</w:t>
      </w:r>
    </w:p>
    <w:p>
      <w:r>
        <w:br w:type="page"/>
      </w:r>
    </w:p>
    <w:p>
      <w:pPr>
        <w:spacing w:before="1600"/>
        <w:jc w:val="center"/>
      </w:pPr>
      <w:r>
        <w:rPr>
          <w:rFonts w:ascii="Times New Roman" w:hAnsi="Times New Roman"/>
          <w:b/>
          <w:color w:val="1F4E79"/>
          <w:sz w:val="38"/>
        </w:rPr>
        <w:t>CHAPITRE 2 : ANALYSE ET CONCEPTION</w:t>
      </w:r>
    </w:p>
    <w:p>
      <w:r>
        <w:br w:type="page"/>
      </w:r>
    </w:p>
    <w:p>
      <w:pPr>
        <w:pStyle w:val="Heading1"/>
      </w:pPr>
      <w:r>
        <w:t>Introduction</w:t>
      </w:r>
    </w:p>
    <w:p>
      <w:pPr>
        <w:jc w:val="both"/>
      </w:pPr>
      <w:r>
        <w:t>Ce chapitre formalise les acteurs, les scénarios, les contraintes et la conception du système à partir du code et des documents du dépôt.</w:t>
      </w:r>
    </w:p>
    <w:p>
      <w:pPr>
        <w:pStyle w:val="Heading1"/>
      </w:pPr>
      <w:r>
        <w:t>2.1 Analyse des besoins fonctionnels</w:t>
      </w:r>
    </w:p>
    <w:p>
      <w:pPr>
        <w:pStyle w:val="Heading2"/>
      </w:pPr>
      <w:r>
        <w:t>2.1.1 Identification des acteurs (Client, Parent, Livreur, Fournisseur, Admin)</w:t>
      </w:r>
    </w:p>
    <w:p>
      <w:pPr>
        <w:spacing w:before="160" w:after="80"/>
        <w:jc w:val="center"/>
      </w:pPr>
      <w:r>
        <w:rPr>
          <w:rFonts w:ascii="Times New Roman" w:hAnsi="Times New Roman"/>
          <w:b/>
          <w:color w:val="3C3C3C"/>
          <w:sz w:val="20"/>
        </w:rPr>
        <w:t>Tableau 5 : Acteurs du système et leurs rôles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Acteur</w:t>
            </w:r>
          </w:p>
        </w:tc>
        <w:tc>
          <w:tcPr>
            <w:tcW w:type="dxa" w:w="4788"/>
            <w:shd w:fill="D9EAF7"/>
          </w:tcPr>
          <w:p>
            <w:r>
              <w:rPr>
                <w:b/>
              </w:rPr>
              <w:t>Responsabilités observées dans le code</w:t>
            </w:r>
          </w:p>
        </w:tc>
      </w:tr>
      <w:tr>
        <w:tc>
          <w:tcPr>
            <w:tcW w:type="dxa" w:w="4788"/>
            <w:vAlign w:val="center"/>
          </w:tcPr>
          <w:p>
            <w:r>
              <w:t>Client</w:t>
            </w:r>
          </w:p>
        </w:tc>
        <w:tc>
          <w:tcPr>
            <w:tcW w:type="dxa" w:w="4788"/>
            <w:vAlign w:val="center"/>
          </w:tcPr>
          <w:p>
            <w:r>
              <w:t>Catalogue, panier, checkout, historique, profil, adresses, réclamations et wallet.</w:t>
            </w:r>
          </w:p>
        </w:tc>
      </w:tr>
      <w:tr>
        <w:tc>
          <w:tcPr>
            <w:tcW w:type="dxa" w:w="4788"/>
            <w:vAlign w:val="center"/>
          </w:tcPr>
          <w:p>
            <w:r>
              <w:t>Parent</w:t>
            </w:r>
          </w:p>
        </w:tc>
        <w:tc>
          <w:tcPr>
            <w:tcW w:type="dxa" w:w="4788"/>
            <w:vAlign w:val="center"/>
          </w:tcPr>
          <w:p>
            <w:r>
              <w:t>Accès à un espace dédié et modèle d’abonnement reliant parent et enfant.</w:t>
            </w:r>
          </w:p>
        </w:tc>
      </w:tr>
      <w:tr>
        <w:tc>
          <w:tcPr>
            <w:tcW w:type="dxa" w:w="4788"/>
            <w:vAlign w:val="center"/>
          </w:tcPr>
          <w:p>
            <w:r>
              <w:t>Livreur</w:t>
            </w:r>
          </w:p>
        </w:tc>
        <w:tc>
          <w:tcPr>
            <w:tcW w:type="dxa" w:w="4788"/>
            <w:vAlign w:val="center"/>
          </w:tcPr>
          <w:p>
            <w:r>
              <w:t>Consultation de tournée, ramassage, événements de livraison et validation COD.</w:t>
            </w:r>
          </w:p>
        </w:tc>
      </w:tr>
      <w:tr>
        <w:tc>
          <w:tcPr>
            <w:tcW w:type="dxa" w:w="4788"/>
            <w:vAlign w:val="center"/>
          </w:tcPr>
          <w:p>
            <w:r>
              <w:t>Fournisseur</w:t>
            </w:r>
          </w:p>
        </w:tc>
        <w:tc>
          <w:tcPr>
            <w:tcW w:type="dxa" w:w="4788"/>
            <w:vAlign w:val="center"/>
          </w:tcPr>
          <w:p>
            <w:r>
              <w:t>Demande d’adhésion, profil, offres produits, préparation et suivi des commandes.</w:t>
            </w:r>
          </w:p>
        </w:tc>
      </w:tr>
      <w:tr>
        <w:tc>
          <w:tcPr>
            <w:tcW w:type="dxa" w:w="4788"/>
            <w:vAlign w:val="center"/>
          </w:tcPr>
          <w:p>
            <w:r>
              <w:t>Administrateur</w:t>
            </w:r>
          </w:p>
        </w:tc>
        <w:tc>
          <w:tcPr>
            <w:tcW w:type="dxa" w:w="4788"/>
            <w:vAlign w:val="center"/>
          </w:tcPr>
          <w:p>
            <w:r>
              <w:t>Supervision, RBAC, produits, prix, clients, blacklist, fournisseurs, zones, JIT et dispatch.</w:t>
            </w:r>
          </w:p>
        </w:tc>
      </w:tr>
    </w:tbl>
    <w:p/>
    <w:p>
      <w:pPr>
        <w:pStyle w:val="Heading2"/>
      </w:pPr>
      <w:r>
        <w:t>2.1.2 Scenarios d'usage type</w:t>
      </w:r>
    </w:p>
    <w:p>
      <w:pPr>
        <w:ind w:left="340" w:hanging="198"/>
      </w:pPr>
      <w:r>
        <w:rPr>
          <w:b/>
        </w:rPr>
        <w:t xml:space="preserve">1. </w:t>
      </w:r>
      <w:r>
        <w:t>Un client s’inscrit, vérifie son OTP, se connecte, choisit ses produits, renseigne une adresse puis valide la commande.</w:t>
      </w:r>
    </w:p>
    <w:p>
      <w:pPr>
        <w:ind w:left="340" w:hanging="198"/>
      </w:pPr>
      <w:r>
        <w:rPr>
          <w:b/>
        </w:rPr>
        <w:t xml:space="preserve">2. </w:t>
      </w:r>
      <w:r>
        <w:t>Un client transmet une demande textuelle ou audio ; Gemini structure les éléments, le service les rapproche du catalogue et crée un brouillon.</w:t>
      </w:r>
    </w:p>
    <w:p>
      <w:pPr>
        <w:ind w:left="340" w:hanging="198"/>
      </w:pPr>
      <w:r>
        <w:rPr>
          <w:b/>
        </w:rPr>
        <w:t xml:space="preserve">3. </w:t>
      </w:r>
      <w:r>
        <w:t>À 20 h 00, le scheduler déclenche l’agrégation JIT ; les commandes éligibles sont regroupées, affectées à un fournisseur et verrouillées.</w:t>
      </w:r>
    </w:p>
    <w:p>
      <w:pPr>
        <w:ind w:left="340" w:hanging="198"/>
      </w:pPr>
      <w:r>
        <w:rPr>
          <w:b/>
        </w:rPr>
        <w:t xml:space="preserve">4. </w:t>
      </w:r>
      <w:r>
        <w:t>À 21 h 35, le dispatch construit les tournées du lendemain à partir des commandes verrouillées, des fournisseurs et des livreurs disponibles.</w:t>
      </w:r>
    </w:p>
    <w:p>
      <w:pPr>
        <w:ind w:left="340" w:hanging="198"/>
      </w:pPr>
      <w:r>
        <w:rPr>
          <w:b/>
        </w:rPr>
        <w:t xml:space="preserve">5. </w:t>
      </w:r>
      <w:r>
        <w:t>Le livreur exécute une tournée, déclare les événements et confirme le paiement à la livraison lorsque le mode COD est utilisé.</w:t>
      </w:r>
    </w:p>
    <w:p>
      <w:pPr>
        <w:pStyle w:val="Heading2"/>
      </w:pPr>
      <w:r>
        <w:t>2.1.3 Cas d'utilisation détaillés</w:t>
      </w:r>
    </w:p>
    <w:p>
      <w:pPr>
        <w:jc w:val="both"/>
      </w:pPr>
      <w:r>
        <w:t>Le cas « valider un checkout » vérifie le client, son statut de blacklist pour le COD, le panier, l’adresse et le mode de paiement avant de créer la commande. Le cas « traiter une réclamation » associe l’utilisateur, la commande et une ligne de panier, calcule le remboursement et crédite SoukiWallet. Le cas « administrer un fournisseur » utilise un cycle de validation et des permissions spécifiques. Ces cas montrent que la logique métier est placée dans les services, les contrôleurs se limitant à exposer les contrats HTTP.</w:t>
      </w:r>
    </w:p>
    <w:p>
      <w:pPr>
        <w:pStyle w:val="Heading2"/>
      </w:pPr>
      <w:r>
        <w:t>2.1.4 Exigences non-fonctionnelles</w:t>
      </w:r>
    </w:p>
    <w:p>
      <w:pPr>
        <w:spacing w:before="160" w:after="80"/>
        <w:jc w:val="center"/>
      </w:pPr>
      <w:r>
        <w:rPr>
          <w:rFonts w:ascii="Times New Roman" w:hAnsi="Times New Roman"/>
          <w:b/>
          <w:color w:val="3C3C3C"/>
          <w:sz w:val="20"/>
        </w:rPr>
        <w:t>Tableau 1 : Exigences non-fonctionnelles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Exigence</w:t>
            </w:r>
          </w:p>
        </w:tc>
        <w:tc>
          <w:tcPr>
            <w:tcW w:type="dxa" w:w="4788"/>
            <w:shd w:fill="D9EAF7"/>
          </w:tcPr>
          <w:p>
            <w:r>
              <w:rPr>
                <w:b/>
              </w:rPr>
              <w:t>Réponse technique</w:t>
            </w:r>
          </w:p>
        </w:tc>
      </w:tr>
      <w:tr>
        <w:tc>
          <w:tcPr>
            <w:tcW w:type="dxa" w:w="4788"/>
            <w:vAlign w:val="center"/>
          </w:tcPr>
          <w:p>
            <w:r>
              <w:t>Sécurité</w:t>
            </w:r>
          </w:p>
        </w:tc>
        <w:tc>
          <w:tcPr>
            <w:tcW w:type="dxa" w:w="4788"/>
            <w:vAlign w:val="center"/>
          </w:tcPr>
          <w:p>
            <w:r>
              <w:t>Hachage bcrypt, JWT signé, OTP haché, Google OAuth et RBAC.</w:t>
            </w:r>
          </w:p>
        </w:tc>
      </w:tr>
      <w:tr>
        <w:tc>
          <w:tcPr>
            <w:tcW w:type="dxa" w:w="4788"/>
            <w:vAlign w:val="center"/>
          </w:tcPr>
          <w:p>
            <w:r>
              <w:t>Maintenabilité</w:t>
            </w:r>
          </w:p>
        </w:tc>
        <w:tc>
          <w:tcPr>
            <w:tcW w:type="dxa" w:w="4788"/>
            <w:vAlign w:val="center"/>
          </w:tcPr>
          <w:p>
            <w:r>
              <w:t>Architecture en couches, interfaces, DTO et services spécialisés.</w:t>
            </w:r>
          </w:p>
        </w:tc>
      </w:tr>
      <w:tr>
        <w:tc>
          <w:tcPr>
            <w:tcW w:type="dxa" w:w="4788"/>
            <w:vAlign w:val="center"/>
          </w:tcPr>
          <w:p>
            <w:r>
              <w:t>Traçabilité</w:t>
            </w:r>
          </w:p>
        </w:tc>
        <w:tc>
          <w:tcPr>
            <w:tcW w:type="dxa" w:w="4788"/>
            <w:vAlign w:val="center"/>
          </w:tcPr>
          <w:p>
            <w:r>
              <w:t>Logs JIT, sessions, transactions wallet, événements de livraison et confirmations COD.</w:t>
            </w:r>
          </w:p>
        </w:tc>
      </w:tr>
      <w:tr>
        <w:tc>
          <w:tcPr>
            <w:tcW w:type="dxa" w:w="4788"/>
            <w:vAlign w:val="center"/>
          </w:tcPr>
          <w:p>
            <w:r>
              <w:t>Portabilité</w:t>
            </w:r>
          </w:p>
        </w:tc>
        <w:tc>
          <w:tcPr>
            <w:tcW w:type="dxa" w:w="4788"/>
            <w:vAlign w:val="center"/>
          </w:tcPr>
          <w:p>
            <w:r>
              <w:t>API REST consommée par Next.js et React Native/Expo.</w:t>
            </w:r>
          </w:p>
        </w:tc>
      </w:tr>
      <w:tr>
        <w:tc>
          <w:tcPr>
            <w:tcW w:type="dxa" w:w="4788"/>
            <w:vAlign w:val="center"/>
          </w:tcPr>
          <w:p>
            <w:r>
              <w:t>Résilience</w:t>
            </w:r>
          </w:p>
        </w:tc>
        <w:tc>
          <w:tcPr>
            <w:tcW w:type="dxa" w:w="4788"/>
            <w:vAlign w:val="center"/>
          </w:tcPr>
          <w:p>
            <w:r>
              <w:t>Repli local pour le panier ML et jobs planifiés journalisés ; validation terrain encore requise.</w:t>
            </w:r>
          </w:p>
        </w:tc>
      </w:tr>
    </w:tbl>
    <w:p/>
    <w:p>
      <w:pPr>
        <w:pStyle w:val="Heading1"/>
      </w:pPr>
      <w:r>
        <w:t>2.2 Etat de l'art / Analyse comparative du marché</w:t>
      </w:r>
    </w:p>
    <w:p>
      <w:pPr>
        <w:pStyle w:val="Heading2"/>
      </w:pPr>
      <w:r>
        <w:t>2.2.1 Applications de livraison généralistes (Glovo, Kaalix, Khodrati)</w:t>
      </w:r>
    </w:p>
    <w:p>
      <w:pPr>
        <w:jc w:val="both"/>
      </w:pPr>
      <w:r>
        <w:t>Ces solutions privilégient l’agrégation d’offres et la rapidité de livraison. La comparaison fonctionnelle détaillée, les tarifs et les zones couvertes doivent être confirmés par une étude de marché datée.</w:t>
      </w:r>
    </w:p>
    <w:p>
      <w:pPr>
        <w:pStyle w:val="Heading2"/>
      </w:pPr>
      <w:r>
        <w:t>2.2.2 Plateformes E-commerce bio (Green Village)</w:t>
      </w:r>
    </w:p>
    <w:p>
      <w:pPr>
        <w:jc w:val="both"/>
      </w:pPr>
      <w:r>
        <w:t>Les plateformes spécialisées valorisent la qualité et la sélection de produits. SOUKI s’en distingue techniquement par la présence d’un workflow JIT et d’un dispatch intégré, sans qu’une supériorité commerciale puisse être affirmée sans données comparatives.</w:t>
      </w:r>
    </w:p>
    <w:p>
      <w:pPr>
        <w:pStyle w:val="Heading2"/>
      </w:pPr>
      <w:r>
        <w:t>2.2.3 Marchés traditionnels physiques (Souks)</w:t>
      </w:r>
    </w:p>
    <w:p>
      <w:pPr>
        <w:jc w:val="both"/>
      </w:pPr>
      <w:r>
        <w:t>Le souk offre proximité culturelle, choix et négociation, mais impose un déplacement et une disponibilité temporelle. SOUKI cherche à numériser une partie de cette expérience sans prétendre remplacer toutes ses dimensions.</w:t>
      </w:r>
    </w:p>
    <w:p>
      <w:pPr>
        <w:pStyle w:val="Heading2"/>
      </w:pPr>
      <w:r>
        <w:t>2.2.4 Notre différenciation (valeur ajoutée)</w:t>
      </w:r>
    </w:p>
    <w:p>
      <w:pPr>
        <w:ind w:left="340" w:hanging="198"/>
      </w:pPr>
      <w:r>
        <w:rPr>
          <w:b/>
        </w:rPr>
        <w:t xml:space="preserve">• </w:t>
      </w:r>
      <w:r>
        <w:t>Agrégation JIT planifiée et historisée.</w:t>
      </w:r>
    </w:p>
    <w:p>
      <w:pPr>
        <w:ind w:left="340" w:hanging="198"/>
      </w:pPr>
      <w:r>
        <w:rPr>
          <w:b/>
        </w:rPr>
        <w:t xml:space="preserve">• </w:t>
      </w:r>
      <w:r>
        <w:t>Chaîne multi-rôles reliant client, fournisseur, livreur et administration.</w:t>
      </w:r>
    </w:p>
    <w:p>
      <w:pPr>
        <w:ind w:left="340" w:hanging="198"/>
      </w:pPr>
      <w:r>
        <w:rPr>
          <w:b/>
        </w:rPr>
        <w:t xml:space="preserve">• </w:t>
      </w:r>
      <w:r>
        <w:t>Commande texte/audio adaptée au français et à la darija.</w:t>
      </w:r>
    </w:p>
    <w:p>
      <w:pPr>
        <w:ind w:left="340" w:hanging="198"/>
      </w:pPr>
      <w:r>
        <w:rPr>
          <w:b/>
        </w:rPr>
        <w:t xml:space="preserve">• </w:t>
      </w:r>
      <w:r>
        <w:t>Gestion des zones, des tournées, des anomalies et du paiement COD.</w:t>
      </w:r>
    </w:p>
    <w:p>
      <w:pPr>
        <w:ind w:left="340" w:hanging="198"/>
      </w:pPr>
      <w:r>
        <w:rPr>
          <w:b/>
        </w:rPr>
        <w:t xml:space="preserve">• </w:t>
      </w:r>
      <w:r>
        <w:t>Application web/PWA et client mobile Expo reposant sur la même API.</w:t>
      </w:r>
    </w:p>
    <w:p>
      <w:pPr>
        <w:pStyle w:val="Heading1"/>
      </w:pPr>
      <w:r>
        <w:t>2.3 Analyse des risques du projet</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Risque</w:t>
            </w:r>
          </w:p>
        </w:tc>
        <w:tc>
          <w:tcPr>
            <w:tcW w:type="dxa" w:w="3192"/>
            <w:shd w:fill="D9EAF7"/>
          </w:tcPr>
          <w:p>
            <w:r>
              <w:rPr>
                <w:b/>
              </w:rPr>
              <w:t>Impact</w:t>
            </w:r>
          </w:p>
        </w:tc>
        <w:tc>
          <w:tcPr>
            <w:tcW w:type="dxa" w:w="3192"/>
            <w:shd w:fill="D9EAF7"/>
          </w:tcPr>
          <w:p>
            <w:r>
              <w:rPr>
                <w:b/>
              </w:rPr>
              <w:t>Mesure observée ou recommandée</w:t>
            </w:r>
          </w:p>
        </w:tc>
      </w:tr>
      <w:tr>
        <w:tc>
          <w:tcPr>
            <w:tcW w:type="dxa" w:w="3192"/>
            <w:vAlign w:val="center"/>
          </w:tcPr>
          <w:p>
            <w:r>
              <w:t>Dépendance aux services IA</w:t>
            </w:r>
          </w:p>
        </w:tc>
        <w:tc>
          <w:tcPr>
            <w:tcW w:type="dxa" w:w="3192"/>
            <w:vAlign w:val="center"/>
          </w:tcPr>
          <w:p>
            <w:r>
              <w:t>Panier vocal indisponible</w:t>
            </w:r>
          </w:p>
        </w:tc>
        <w:tc>
          <w:tcPr>
            <w:tcW w:type="dxa" w:w="3192"/>
            <w:vAlign w:val="center"/>
          </w:tcPr>
          <w:p>
            <w:r>
              <w:t>Fallback local présent pour Gemma ; message d’erreur contrôlé pour Gemini.</w:t>
            </w:r>
          </w:p>
        </w:tc>
      </w:tr>
      <w:tr>
        <w:tc>
          <w:tcPr>
            <w:tcW w:type="dxa" w:w="3192"/>
            <w:vAlign w:val="center"/>
          </w:tcPr>
          <w:p>
            <w:r>
              <w:t>Qualité des adresses</w:t>
            </w:r>
          </w:p>
        </w:tc>
        <w:tc>
          <w:tcPr>
            <w:tcW w:type="dxa" w:w="3192"/>
            <w:vAlign w:val="center"/>
          </w:tcPr>
          <w:p>
            <w:r>
              <w:t>Dispatch incomplet</w:t>
            </w:r>
          </w:p>
        </w:tc>
        <w:tc>
          <w:tcPr>
            <w:tcW w:type="dxa" w:w="3192"/>
            <w:vAlign w:val="center"/>
          </w:tcPr>
          <w:p>
            <w:r>
              <w:t>Coordonnées et adresse par défaut ; validation opérationnelle nécessaire.</w:t>
            </w:r>
          </w:p>
        </w:tc>
      </w:tr>
      <w:tr>
        <w:tc>
          <w:tcPr>
            <w:tcW w:type="dxa" w:w="3192"/>
            <w:vAlign w:val="center"/>
          </w:tcPr>
          <w:p>
            <w:r>
              <w:t>Paiement carte non intégré</w:t>
            </w:r>
          </w:p>
        </w:tc>
        <w:tc>
          <w:tcPr>
            <w:tcW w:type="dxa" w:w="3192"/>
            <w:vAlign w:val="center"/>
          </w:tcPr>
          <w:p>
            <w:r>
              <w:t>Parcours limité</w:t>
            </w:r>
          </w:p>
        </w:tc>
        <w:tc>
          <w:tcPr>
            <w:tcW w:type="dxa" w:w="3192"/>
            <w:vAlign w:val="center"/>
          </w:tcPr>
          <w:p>
            <w:r>
              <w:t>Option CMI affichée mais désactivée ; ne pas la présenter comme disponible.</w:t>
            </w:r>
          </w:p>
        </w:tc>
      </w:tr>
      <w:tr>
        <w:tc>
          <w:tcPr>
            <w:tcW w:type="dxa" w:w="3192"/>
            <w:vAlign w:val="center"/>
          </w:tcPr>
          <w:p>
            <w:r>
              <w:t>Données périssables</w:t>
            </w:r>
          </w:p>
        </w:tc>
        <w:tc>
          <w:tcPr>
            <w:tcW w:type="dxa" w:w="3192"/>
            <w:vAlign w:val="center"/>
          </w:tcPr>
          <w:p>
            <w:r>
              <w:t>Rupture ou gaspillage</w:t>
            </w:r>
          </w:p>
        </w:tc>
        <w:tc>
          <w:tcPr>
            <w:tcW w:type="dxa" w:w="3192"/>
            <w:vAlign w:val="center"/>
          </w:tcPr>
          <w:p>
            <w:r>
              <w:t>Buffer JIT de 10 % ; valeur à calibrer avec des données réelles.</w:t>
            </w:r>
          </w:p>
        </w:tc>
      </w:tr>
      <w:tr>
        <w:tc>
          <w:tcPr>
            <w:tcW w:type="dxa" w:w="3192"/>
            <w:vAlign w:val="center"/>
          </w:tcPr>
          <w:p>
            <w:r>
              <w:t>Sécurité du token navigateur</w:t>
            </w:r>
          </w:p>
        </w:tc>
        <w:tc>
          <w:tcPr>
            <w:tcW w:type="dxa" w:w="3192"/>
            <w:vAlign w:val="center"/>
          </w:tcPr>
          <w:p>
            <w:r>
              <w:t>Exposition en cas de XSS</w:t>
            </w:r>
          </w:p>
        </w:tc>
        <w:tc>
          <w:tcPr>
            <w:tcW w:type="dxa" w:w="3192"/>
            <w:vAlign w:val="center"/>
          </w:tcPr>
          <w:p>
            <w:r>
              <w:t>JWT et RBAC présents ; migration vers cookie HttpOnly recommandée.</w:t>
            </w:r>
          </w:p>
        </w:tc>
      </w:tr>
    </w:tbl>
    <w:p/>
    <w:p>
      <w:pPr>
        <w:pStyle w:val="Heading1"/>
      </w:pPr>
      <w:r>
        <w:t>2.4 Spécifications techniques</w:t>
      </w:r>
    </w:p>
    <w:p>
      <w:pPr>
        <w:pStyle w:val="Heading2"/>
      </w:pPr>
      <w:r>
        <w:t>2.4.1 Vue d'ensemble de l'architecture</w:t>
      </w:r>
    </w:p>
    <w:p>
      <w:pPr>
        <w:jc w:val="both"/>
      </w:pPr>
      <w:r>
        <w:t>Le système comprend une API FastAPI, une base PostgreSQL via SQLAlchemy, un frontend Next.js, un client mobile Expo, un stockage Supabase pour les médias et plusieurs services externes optionnels.</w:t>
      </w:r>
    </w:p>
    <w:p>
      <w:pPr>
        <w:pStyle w:val="Heading2"/>
      </w:pPr>
      <w:r>
        <w:t>2.4.2 Architecture fonctionnelle (modules métier)</w:t>
      </w:r>
    </w:p>
    <w:p>
      <w:pPr>
        <w:jc w:val="both"/>
      </w:pPr>
      <w:r>
        <w:t>Les modules confirmés sont : authentification et autorisation, profil et paramètres, catalogue et pricing, panier et commande intelligente, checkout, commandes, JIT, dispatch, livraison, fournisseurs, administration, réclamations, blacklist, notifications et wallet.</w:t>
      </w:r>
    </w:p>
    <w:p>
      <w:pPr>
        <w:pStyle w:val="Heading2"/>
      </w:pPr>
      <w:r>
        <w:t>2.4.3 Architecture technique (Backend / Frontend / Mobile)</w:t>
      </w:r>
    </w:p>
    <w:p>
      <w:pPr>
        <w:jc w:val="both"/>
      </w:pPr>
      <w:r>
        <w:t>Le backend applique le flux Contrôleur → Service → DAO → Entité. Le frontend utilise l’App Router de Next.js, des composants réutilisables et des hooks. L’application mobile utilise Expo Router, React Query, Zustand, SecureStore et Mapbox.</w:t>
      </w:r>
    </w:p>
    <w:p>
      <w:pPr>
        <w:spacing w:before="120" w:after="60"/>
        <w:jc w:val="center"/>
      </w:pPr>
      <w:r>
        <w:drawing>
          <wp:inline xmlns:a="http://schemas.openxmlformats.org/drawingml/2006/main" xmlns:pic="http://schemas.openxmlformats.org/drawingml/2006/picture">
            <wp:extent cx="5688000" cy="3318000"/>
            <wp:docPr id="2126421164" name="Picture 2126421164"/>
            <wp:cNvGraphicFramePr>
              <a:graphicFrameLocks noChangeAspect="1"/>
            </wp:cNvGraphicFramePr>
            <a:graphic>
              <a:graphicData uri="http://schemas.openxmlformats.org/drawingml/2006/picture">
                <pic:pic>
                  <pic:nvPicPr>
                    <pic:cNvPr id="0" name="figure04_architecture_fonctionnelle.png"/>
                    <pic:cNvPicPr/>
                  </pic:nvPicPr>
                  <pic:blipFill>
                    <a:blip r:embed="rId14"/>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4 : Architecture fonctionnelle globale du système</w:t>
      </w:r>
    </w:p>
    <w:p>
      <w:pPr>
        <w:pStyle w:val="Heading1"/>
      </w:pPr>
      <w:r>
        <w:t>2.5 Architecture globale du système</w:t>
      </w:r>
    </w:p>
    <w:p>
      <w:pPr>
        <w:pStyle w:val="Heading2"/>
      </w:pPr>
      <w:r>
        <w:t>2.5.1 Workflows détaillés (agrégation JIT, commande vocale, dispatch)</w:t>
      </w:r>
    </w:p>
    <w:p>
      <w:pPr>
        <w:jc w:val="both"/>
      </w:pPr>
      <w:r>
        <w:t>Le JIT sélectionne les commandes EN_ATTENTE ou CONFIRMEE du jour, agrège les quantités par produit, ajoute un buffer de 10 %, arrondit au kilogramme supérieur, résout zone et fournisseur, puis verrouille les commandes. La commande vocale transmet l’audio encodé à Gemini, récupère un JSON, résout les produits et crée le brouillon. Le dispatch répartit les commandes verrouillées entre les livreurs et ordonne les arrêts par proximité à partir des coordonnées disponibles.</w:t>
      </w:r>
    </w:p>
    <w:p>
      <w:pPr>
        <w:pStyle w:val="Heading2"/>
      </w:pPr>
      <w:r>
        <w:t>2.5.2 Gestion des données</w:t>
      </w:r>
    </w:p>
    <w:p>
      <w:pPr>
        <w:jc w:val="both"/>
      </w:pPr>
      <w:r>
        <w:t>SQLAlchemy fournit le modèle principal d’exécution. Prisma décrit un sous-ensemble du schéma pour l’outillage. Des scripts SQL versionnés complètent les synchronisations automatiques de schéma au démarrage.</w:t>
      </w:r>
    </w:p>
    <w:p>
      <w:pPr>
        <w:pStyle w:val="Heading2"/>
      </w:pPr>
      <w:r>
        <w:t>2.5.3 Intégrations externes</w:t>
      </w:r>
    </w:p>
    <w:p>
      <w:pPr>
        <w:jc w:val="both"/>
      </w:pPr>
      <w:r>
        <w:t>Les intégrations vérifiées sont Google OAuth, Google Gemini, Hugging Face Inference, Supabase Storage, SMTP et Mapbox. L’intégration CMI/PayZone n’est pas opérationnelle dans le checkout actuel.</w:t>
      </w:r>
    </w:p>
    <w:p>
      <w:pPr>
        <w:pStyle w:val="Heading2"/>
      </w:pPr>
      <w:r>
        <w:t>2.5.4 Sécurité et authentification</w:t>
      </w:r>
    </w:p>
    <w:p>
      <w:pPr>
        <w:jc w:val="both"/>
      </w:pPr>
      <w:r>
        <w:t>Les mots de passe et codes OTP sont hachés par bcrypt. Les accès API utilisent des JWT. Les permissions RBAC protègent les espaces métier, tandis que Google OAuth valide les jetons d’identité auprès de Google.</w:t>
      </w:r>
    </w:p>
    <w:p>
      <w:pPr>
        <w:spacing w:before="160" w:after="80"/>
        <w:jc w:val="center"/>
      </w:pPr>
      <w:r>
        <w:rPr>
          <w:rFonts w:ascii="Times New Roman" w:hAnsi="Times New Roman"/>
          <w:b/>
          <w:color w:val="3C3C3C"/>
          <w:sz w:val="20"/>
        </w:rPr>
        <w:t>Tableau 4 : Comparaison des bases de données</w:t>
      </w:r>
    </w:p>
    <w:p>
      <w:pPr>
        <w:pStyle w:val="Heading1"/>
      </w:pPr>
      <w:r>
        <w:t>2.6 Conception de la base de données (modèles PostgreSQL)</w:t>
      </w:r>
    </w:p>
    <w:p>
      <w:pPr>
        <w:jc w:val="both"/>
      </w:pPr>
      <w:r>
        <w:t>Le schéma relationnel comprend notamment t_users, t_clients, t_parents, t_livreurs, t_fournisseurs, T_Product, t_paniers, t_lignes_panier, t_commandes, t_paiements, t_tournees, t_delivery_events, t_zones_jit, t_jit_logs, t_claims, wallets, t_transactions_wallet, roles, permissions, user_roles et role_permissions. Les clés étrangères relient profils, commandes, paniers, produits, tournées et acteurs.</w:t>
      </w:r>
    </w:p>
    <w:p>
      <w:pPr>
        <w:spacing w:before="120" w:after="60"/>
        <w:jc w:val="center"/>
      </w:pPr>
      <w:r>
        <w:drawing>
          <wp:inline xmlns:a="http://schemas.openxmlformats.org/drawingml/2006/main" xmlns:pic="http://schemas.openxmlformats.org/drawingml/2006/picture">
            <wp:extent cx="5688000" cy="3318000"/>
            <wp:docPr id="2126421165" name="Picture 2126421165"/>
            <wp:cNvGraphicFramePr>
              <a:graphicFrameLocks noChangeAspect="1"/>
            </wp:cNvGraphicFramePr>
            <a:graphic>
              <a:graphicData uri="http://schemas.openxmlformats.org/drawingml/2006/picture">
                <pic:pic>
                  <pic:nvPicPr>
                    <pic:cNvPr id="0" name="figure32_modele_relationnel.png"/>
                    <pic:cNvPicPr/>
                  </pic:nvPicPr>
                  <pic:blipFill>
                    <a:blip r:embed="rId15"/>
                    <a:stretch>
                      <a:fillRect/>
                    </a:stretch>
                  </pic:blipFill>
                  <pic:spPr>
                    <a:xfrm>
                      <a:off x="0" y="0"/>
                      <a:ext cx="5688000" cy="3318000"/>
                    </a:xfrm>
                    <a:prstGeom prst="rect"/>
                  </pic:spPr>
                </pic:pic>
              </a:graphicData>
            </a:graphic>
          </wp:inline>
        </w:drawing>
      </w:r>
    </w:p>
    <w:p>
      <w:pPr>
        <w:spacing w:before="160" w:after="80"/>
        <w:jc w:val="center"/>
      </w:pPr>
      <w:r>
        <w:rPr>
          <w:rFonts w:ascii="Times New Roman" w:hAnsi="Times New Roman"/>
          <w:b/>
          <w:color w:val="3C3C3C"/>
          <w:sz w:val="20"/>
        </w:rPr>
        <w:t>Tableau 7 : Dictionnaire de données — synthèse des tables</w:t>
      </w:r>
    </w:p>
    <w:p>
      <w:pPr>
        <w:spacing w:after="160"/>
        <w:jc w:val="center"/>
      </w:pPr>
      <w:r>
        <w:rPr>
          <w:rFonts w:ascii="Times New Roman" w:hAnsi="Times New Roman"/>
          <w:i/>
          <w:color w:val="3C3C3C"/>
          <w:sz w:val="20"/>
        </w:rPr>
        <w:t>Figure 32 : Modèle relationnel simplifié de SOUKI</w:t>
      </w:r>
    </w:p>
    <w:p>
      <w:pPr>
        <w:pStyle w:val="Heading1"/>
      </w:pPr>
      <w:r>
        <w:t>2.7 Diagrammes UML (Cas d'utilisation, Séquences)</w:t>
      </w:r>
    </w:p>
    <w:p>
      <w:pPr>
        <w:spacing w:before="120" w:after="60"/>
        <w:jc w:val="center"/>
      </w:pPr>
      <w:r>
        <w:drawing>
          <wp:inline xmlns:a="http://schemas.openxmlformats.org/drawingml/2006/main" xmlns:pic="http://schemas.openxmlformats.org/drawingml/2006/picture">
            <wp:extent cx="3671999" cy="4687658"/>
            <wp:docPr id="2126421169" name="Picture 2126421169"/>
            <wp:cNvGraphicFramePr>
              <a:graphicFrameLocks noChangeAspect="1"/>
            </wp:cNvGraphicFramePr>
            <a:graphic>
              <a:graphicData uri="http://schemas.openxmlformats.org/drawingml/2006/picture">
                <pic:pic>
                  <pic:nvPicPr>
                    <pic:cNvPr id="0" name="uml_client_auth_extrait.png"/>
                    <pic:cNvPicPr/>
                  </pic:nvPicPr>
                  <pic:blipFill>
                    <a:blip r:embed="rId19"/>
                    <a:stretch>
                      <a:fillRect/>
                    </a:stretch>
                  </pic:blipFill>
                  <pic:spPr>
                    <a:xfrm>
                      <a:off x="0" y="0"/>
                      <a:ext cx="3671999" cy="4687658"/>
                    </a:xfrm>
                    <a:prstGeom prst="rect"/>
                  </pic:spPr>
                </pic:pic>
              </a:graphicData>
            </a:graphic>
          </wp:inline>
        </w:drawing>
      </w:r>
    </w:p>
    <w:p>
      <w:pPr>
        <w:spacing w:after="160"/>
        <w:jc w:val="center"/>
      </w:pPr>
      <w:r>
        <w:rPr>
          <w:rFonts w:ascii="Times New Roman" w:hAnsi="Times New Roman"/>
          <w:i/>
          <w:color w:val="3C3C3C"/>
          <w:sz w:val="20"/>
        </w:rPr>
        <w:t>Figure 8 : Extrait du cas d’utilisation Client — authentification</w:t>
      </w:r>
    </w:p>
    <w:p>
      <w:pPr>
        <w:spacing w:before="120" w:after="60"/>
        <w:jc w:val="center"/>
      </w:pPr>
      <w:r>
        <w:drawing>
          <wp:inline xmlns:a="http://schemas.openxmlformats.org/drawingml/2006/main" xmlns:pic="http://schemas.openxmlformats.org/drawingml/2006/picture">
            <wp:extent cx="3888000" cy="4599702"/>
            <wp:docPr id="2126421170" name="Picture 2126421170"/>
            <wp:cNvGraphicFramePr>
              <a:graphicFrameLocks noChangeAspect="1"/>
            </wp:cNvGraphicFramePr>
            <a:graphic>
              <a:graphicData uri="http://schemas.openxmlformats.org/drawingml/2006/picture">
                <pic:pic>
                  <pic:nvPicPr>
                    <pic:cNvPr id="0" name="uml_client_commande_extrait.png"/>
                    <pic:cNvPicPr/>
                  </pic:nvPicPr>
                  <pic:blipFill>
                    <a:blip r:embed="rId20"/>
                    <a:stretch>
                      <a:fillRect/>
                    </a:stretch>
                  </pic:blipFill>
                  <pic:spPr>
                    <a:xfrm>
                      <a:off x="0" y="0"/>
                      <a:ext cx="3888000" cy="4599702"/>
                    </a:xfrm>
                    <a:prstGeom prst="rect"/>
                  </pic:spPr>
                </pic:pic>
              </a:graphicData>
            </a:graphic>
          </wp:inline>
        </w:drawing>
      </w:r>
    </w:p>
    <w:p>
      <w:pPr>
        <w:spacing w:after="160"/>
        <w:jc w:val="center"/>
      </w:pPr>
      <w:r>
        <w:rPr>
          <w:rFonts w:ascii="Times New Roman" w:hAnsi="Times New Roman"/>
          <w:i/>
          <w:color w:val="3C3C3C"/>
          <w:sz w:val="20"/>
        </w:rPr>
        <w:t>Figure 9 : Extrait du cas d’utilisation Client — commande</w:t>
      </w:r>
    </w:p>
    <w:p>
      <w:pPr>
        <w:spacing w:before="120" w:after="60"/>
        <w:jc w:val="center"/>
      </w:pPr>
      <w:r>
        <w:drawing>
          <wp:inline xmlns:a="http://schemas.openxmlformats.org/drawingml/2006/main" xmlns:pic="http://schemas.openxmlformats.org/drawingml/2006/picture">
            <wp:extent cx="3888000" cy="4241455"/>
            <wp:docPr id="2126421171" name="Picture 2126421171"/>
            <wp:cNvGraphicFramePr>
              <a:graphicFrameLocks noChangeAspect="1"/>
            </wp:cNvGraphicFramePr>
            <a:graphic>
              <a:graphicData uri="http://schemas.openxmlformats.org/drawingml/2006/picture">
                <pic:pic>
                  <pic:nvPicPr>
                    <pic:cNvPr id="0" name="uml_admin_extrait.png"/>
                    <pic:cNvPicPr/>
                  </pic:nvPicPr>
                  <pic:blipFill>
                    <a:blip r:embed="rId21"/>
                    <a:stretch>
                      <a:fillRect/>
                    </a:stretch>
                  </pic:blipFill>
                  <pic:spPr>
                    <a:xfrm>
                      <a:off x="0" y="0"/>
                      <a:ext cx="3888000" cy="4241455"/>
                    </a:xfrm>
                    <a:prstGeom prst="rect"/>
                  </pic:spPr>
                </pic:pic>
              </a:graphicData>
            </a:graphic>
          </wp:inline>
        </w:drawing>
      </w:r>
    </w:p>
    <w:p>
      <w:pPr>
        <w:spacing w:after="160"/>
        <w:jc w:val="center"/>
      </w:pPr>
      <w:r>
        <w:rPr>
          <w:rFonts w:ascii="Times New Roman" w:hAnsi="Times New Roman"/>
          <w:i/>
          <w:color w:val="3C3C3C"/>
          <w:sz w:val="20"/>
        </w:rPr>
        <w:t>Figure 10 : Extrait du cas d’utilisation Administrateur</w:t>
      </w:r>
    </w:p>
    <w:p>
      <w:pPr>
        <w:pStyle w:val="Heading2"/>
      </w:pPr>
      <w:r>
        <w:t>2.7.1 Authentification classique (Email/Téléphone + OTP)</w:t>
      </w:r>
    </w:p>
    <w:p>
      <w:pPr>
        <w:jc w:val="both"/>
      </w:pPr>
      <w:r>
        <w:t>L’inscription crée un utilisateur non vérifié, hache le mot de passe, génère un OTP à six chiffres, hache ce code et l’envoie par email lorsqu’un SMTP est configuré. La vérification active le compte et émet un JWT.</w:t>
      </w:r>
    </w:p>
    <w:p>
      <w:pPr>
        <w:spacing w:before="120" w:after="60"/>
        <w:jc w:val="center"/>
      </w:pPr>
      <w:r>
        <w:drawing>
          <wp:inline xmlns:a="http://schemas.openxmlformats.org/drawingml/2006/main" xmlns:pic="http://schemas.openxmlformats.org/drawingml/2006/picture">
            <wp:extent cx="5688000" cy="4707310"/>
            <wp:docPr id="2126421172" name="Picture 2126421172"/>
            <wp:cNvGraphicFramePr>
              <a:graphicFrameLocks noChangeAspect="1"/>
            </wp:cNvGraphicFramePr>
            <a:graphic>
              <a:graphicData uri="http://schemas.openxmlformats.org/drawingml/2006/picture">
                <pic:pic>
                  <pic:nvPicPr>
                    <pic:cNvPr id="0" name="diagram_24.png"/>
                    <pic:cNvPicPr/>
                  </pic:nvPicPr>
                  <pic:blipFill>
                    <a:blip r:embed="rId22"/>
                    <a:stretch>
                      <a:fillRect/>
                    </a:stretch>
                  </pic:blipFill>
                  <pic:spPr>
                    <a:xfrm>
                      <a:off x="0" y="0"/>
                      <a:ext cx="5688000" cy="4707310"/>
                    </a:xfrm>
                    <a:prstGeom prst="rect"/>
                  </pic:spPr>
                </pic:pic>
              </a:graphicData>
            </a:graphic>
          </wp:inline>
        </w:drawing>
      </w:r>
    </w:p>
    <w:p>
      <w:pPr>
        <w:spacing w:after="160"/>
        <w:jc w:val="center"/>
      </w:pPr>
      <w:r>
        <w:rPr>
          <w:rFonts w:ascii="Times New Roman" w:hAnsi="Times New Roman"/>
          <w:i/>
          <w:color w:val="3C3C3C"/>
          <w:sz w:val="20"/>
        </w:rPr>
        <w:t>Figure 11 : Séquence d’inscription et de validation OTP</w:t>
      </w:r>
    </w:p>
    <w:p>
      <w:pPr>
        <w:pStyle w:val="Heading2"/>
      </w:pPr>
      <w:r>
        <w:t>2.7.2 S'authentifier via OAuth (Google)</w:t>
      </w:r>
    </w:p>
    <w:p>
      <w:pPr>
        <w:jc w:val="both"/>
      </w:pPr>
      <w:r>
        <w:t>Le frontend obtient un jeton Google, le backend le valide avec le client Google configuré, crée ou met à jour l’utilisateur, applique ses rôles, puis émet son propre JWT.</w:t>
      </w:r>
    </w:p>
    <w:p>
      <w:pPr>
        <w:spacing w:before="160" w:after="160"/>
        <w:jc w:val="both"/>
      </w:pPr>
      <w:r>
        <w:rPr>
          <w:b/>
          <w:color w:val="C00000"/>
        </w:rPr>
      </w:r>
      <w:r>
        <w:t>Le flux Google OAuth est décrit textuellement ; son diagramme détaillé pourra être ajouté après validation de la configuration de production.</w:t>
      </w:r>
    </w:p>
    <w:p>
      <w:pPr>
        <w:pStyle w:val="Heading2"/>
      </w:pPr>
      <w:r>
        <w:t>2.7.3 Créer une commande vocale</w:t>
      </w:r>
    </w:p>
    <w:p>
      <w:pPr>
        <w:jc w:val="both"/>
      </w:pPr>
      <w:r>
        <w:t>Le fichier audio est contrôlé, encodé en Base64, envoyé à Gemini avec un prompt structuré, puis les lignes reconnues sont rapprochées du catalogue et persistées.</w:t>
      </w:r>
    </w:p>
    <w:p>
      <w:pPr>
        <w:spacing w:before="120" w:after="60"/>
        <w:jc w:val="center"/>
      </w:pPr>
      <w:r>
        <w:drawing>
          <wp:inline xmlns:a="http://schemas.openxmlformats.org/drawingml/2006/main" xmlns:pic="http://schemas.openxmlformats.org/drawingml/2006/picture">
            <wp:extent cx="5688000" cy="4875429"/>
            <wp:docPr id="2126421173" name="Picture 2126421173"/>
            <wp:cNvGraphicFramePr>
              <a:graphicFrameLocks noChangeAspect="1"/>
            </wp:cNvGraphicFramePr>
            <a:graphic>
              <a:graphicData uri="http://schemas.openxmlformats.org/drawingml/2006/picture">
                <pic:pic>
                  <pic:nvPicPr>
                    <pic:cNvPr id="0" name="diagram_25.png"/>
                    <pic:cNvPicPr/>
                  </pic:nvPicPr>
                  <pic:blipFill>
                    <a:blip r:embed="rId23"/>
                    <a:stretch>
                      <a:fillRect/>
                    </a:stretch>
                  </pic:blipFill>
                  <pic:spPr>
                    <a:xfrm>
                      <a:off x="0" y="0"/>
                      <a:ext cx="5688000" cy="4875429"/>
                    </a:xfrm>
                    <a:prstGeom prst="rect"/>
                  </pic:spPr>
                </pic:pic>
              </a:graphicData>
            </a:graphic>
          </wp:inline>
        </w:drawing>
      </w:r>
    </w:p>
    <w:p>
      <w:pPr>
        <w:spacing w:after="160"/>
        <w:jc w:val="center"/>
      </w:pPr>
      <w:r>
        <w:rPr>
          <w:rFonts w:ascii="Times New Roman" w:hAnsi="Times New Roman"/>
          <w:i/>
          <w:color w:val="3C3C3C"/>
          <w:sz w:val="20"/>
        </w:rPr>
        <w:t>Figure 12 : Séquence du panier intelligent avec mécanisme de repli</w:t>
      </w:r>
    </w:p>
    <w:p>
      <w:pPr>
        <w:pStyle w:val="Heading2"/>
      </w:pPr>
      <w:r>
        <w:t>2.7.4 Processus d'agrégation JIT</w:t>
      </w:r>
    </w:p>
    <w:p>
      <w:pPr>
        <w:jc w:val="both"/>
      </w:pPr>
      <w:r>
        <w:t>Le scheduler déclenche le service, les quantités sont agrégées, un fournisseur est résolu, les commandes sont verrouillées et un log d’exécution est enregistré.</w:t>
      </w:r>
    </w:p>
    <w:p>
      <w:pPr>
        <w:spacing w:before="120" w:after="60"/>
        <w:jc w:val="center"/>
      </w:pPr>
      <w:r>
        <w:drawing>
          <wp:inline xmlns:a="http://schemas.openxmlformats.org/drawingml/2006/main" xmlns:pic="http://schemas.openxmlformats.org/drawingml/2006/picture">
            <wp:extent cx="5688000" cy="4266000"/>
            <wp:docPr id="2126421174" name="Picture 2126421174"/>
            <wp:cNvGraphicFramePr>
              <a:graphicFrameLocks noChangeAspect="1"/>
            </wp:cNvGraphicFramePr>
            <a:graphic>
              <a:graphicData uri="http://schemas.openxmlformats.org/drawingml/2006/picture">
                <pic:pic>
                  <pic:nvPicPr>
                    <pic:cNvPr id="0" name="diagram_28.png"/>
                    <pic:cNvPicPr/>
                  </pic:nvPicPr>
                  <pic:blipFill>
                    <a:blip r:embed="rId24"/>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13 : Séquence d’agrégation JIT régionale</w:t>
      </w:r>
    </w:p>
    <w:p>
      <w:pPr>
        <w:pStyle w:val="Heading1"/>
      </w:pPr>
      <w:r>
        <w:t>2.8 Maquettes et prototypes de l'interface</w:t>
      </w:r>
    </w:p>
    <w:p>
      <w:pPr>
        <w:pStyle w:val="Heading2"/>
      </w:pPr>
      <w:r>
        <w:t>2.8.1 Parcours Client</w:t>
      </w:r>
    </w:p>
    <w:p>
      <w:pPr>
        <w:spacing w:before="120" w:after="60"/>
        <w:jc w:val="center"/>
      </w:pPr>
      <w:r>
        <w:drawing>
          <wp:inline xmlns:a="http://schemas.openxmlformats.org/drawingml/2006/main" xmlns:pic="http://schemas.openxmlformats.org/drawingml/2006/picture">
            <wp:extent cx="5688000" cy="4345000"/>
            <wp:docPr id="2126421175" name="Picture 2126421175"/>
            <wp:cNvGraphicFramePr>
              <a:graphicFrameLocks noChangeAspect="1"/>
            </wp:cNvGraphicFramePr>
            <a:graphic>
              <a:graphicData uri="http://schemas.openxmlformats.org/drawingml/2006/picture">
                <pic:pic>
                  <pic:nvPicPr>
                    <pic:cNvPr id="0" name="accueil.png"/>
                    <pic:cNvPicPr/>
                  </pic:nvPicPr>
                  <pic:blipFill>
                    <a:blip r:embed="rId25"/>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14 : Page d’accueil de l’application SOUKI</w:t>
      </w:r>
    </w:p>
    <w:p>
      <w:pPr>
        <w:spacing w:before="120" w:after="60"/>
        <w:jc w:val="center"/>
      </w:pPr>
      <w:r>
        <w:drawing>
          <wp:inline xmlns:a="http://schemas.openxmlformats.org/drawingml/2006/main" xmlns:pic="http://schemas.openxmlformats.org/drawingml/2006/picture">
            <wp:extent cx="5688000" cy="4345000"/>
            <wp:docPr id="2126421176" name="Picture 2126421176"/>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15 : Catalogue et assistant de composition du panier</w:t>
      </w:r>
    </w:p>
    <w:p>
      <w:pPr>
        <w:pStyle w:val="Heading2"/>
      </w:pPr>
      <w:r>
        <w:t>2.8.2 Parcours Livreur</w:t>
      </w:r>
    </w:p>
    <w:p>
      <w:pPr>
        <w:spacing w:before="160" w:after="160"/>
        <w:jc w:val="both"/>
      </w:pPr>
      <w:r>
        <w:rPr>
          <w:b/>
          <w:color w:val="C00000"/>
        </w:rPr>
      </w:r>
      <w:r>
        <w:t>Les écrans opérationnels du livreur nécessitent une session authentifiée et des tournées affectées ; ils sont à capturer lors de la démonstration.</w:t>
      </w:r>
    </w:p>
    <w:p>
      <w:pPr>
        <w:pStyle w:val="Heading2"/>
      </w:pPr>
      <w:r>
        <w:t>2.8.3 Parcours Fournisseur</w:t>
      </w:r>
    </w:p>
    <w:p>
      <w:pPr>
        <w:spacing w:before="160" w:after="160"/>
        <w:jc w:val="both"/>
      </w:pPr>
      <w:r>
        <w:rPr>
          <w:b/>
          <w:color w:val="C00000"/>
        </w:rPr>
      </w:r>
      <w:r>
        <w:t>Les écrans fournisseur nécessitent une session approuvée et des offres actives ; ils sont à capturer lors de la démonstration.</w:t>
      </w:r>
    </w:p>
    <w:p>
      <w:pPr>
        <w:pStyle w:val="Heading2"/>
      </w:pPr>
      <w:r>
        <w:t>2.8.4 Parcours Administrateur</w:t>
      </w:r>
    </w:p>
    <w:p>
      <w:pPr>
        <w:spacing w:before="120" w:after="60"/>
        <w:jc w:val="center"/>
      </w:pPr>
      <w:r>
        <w:drawing>
          <wp:inline xmlns:a="http://schemas.openxmlformats.org/drawingml/2006/main" xmlns:pic="http://schemas.openxmlformats.org/drawingml/2006/picture">
            <wp:extent cx="5688000" cy="4345000"/>
            <wp:docPr id="2126421177" name="Picture 2126421177"/>
            <wp:cNvGraphicFramePr>
              <a:graphicFrameLocks noChangeAspect="1"/>
            </wp:cNvGraphicFramePr>
            <a:graphic>
              <a:graphicData uri="http://schemas.openxmlformats.org/drawingml/2006/picture">
                <pic:pic>
                  <pic:nvPicPr>
                    <pic:cNvPr id="0" name="admin-login.png"/>
                    <pic:cNvPicPr/>
                  </pic:nvPicPr>
                  <pic:blipFill>
                    <a:blip r:embed="rId27"/>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17 : Écran de connexion au back-office</w:t>
      </w:r>
    </w:p>
    <w:p>
      <w:pPr>
        <w:pStyle w:val="Heading1"/>
      </w:pPr>
      <w:r>
        <w:t>Conclusion</w:t>
      </w:r>
    </w:p>
    <w:p>
      <w:pPr>
        <w:jc w:val="both"/>
      </w:pPr>
      <w:r>
        <w:t>La conception montre une couverture fonctionnelle large et une architecture cohérente. Les diagrammes et captures doivent être produits depuis la version réellement exécutée de l’application.</w:t>
      </w:r>
    </w:p>
    <w:p>
      <w:r>
        <w:br w:type="page"/>
      </w:r>
    </w:p>
    <w:p>
      <w:pPr>
        <w:spacing w:before="1600"/>
        <w:jc w:val="center"/>
      </w:pPr>
      <w:r>
        <w:rPr>
          <w:rFonts w:ascii="Times New Roman" w:hAnsi="Times New Roman"/>
          <w:b/>
          <w:color w:val="1F4E79"/>
          <w:sz w:val="38"/>
        </w:rPr>
        <w:t>CHAPITRE 3 : CHOIX TECHNOLOGIQUES ET ARCHITECTURE TECHNIQUE</w:t>
      </w:r>
    </w:p>
    <w:p>
      <w:r>
        <w:br w:type="page"/>
      </w:r>
    </w:p>
    <w:p>
      <w:pPr>
        <w:pStyle w:val="Heading1"/>
      </w:pPr>
      <w:r>
        <w:t>Introduction</w:t>
      </w:r>
    </w:p>
    <w:p>
      <w:pPr>
        <w:jc w:val="both"/>
      </w:pPr>
      <w:r>
        <w:t>Les choix technologiques sont évalués selon leur rôle réel dans le dépôt, sans confondre dépendance déclarée et service effectivement disponible.</w:t>
      </w:r>
    </w:p>
    <w:p>
      <w:pPr>
        <w:pStyle w:val="Heading1"/>
      </w:pPr>
      <w:r>
        <w:t>3.1 Architecture Full-Stack</w:t>
      </w:r>
    </w:p>
    <w:p>
      <w:pPr>
        <w:pStyle w:val="Heading2"/>
      </w:pPr>
      <w:r>
        <w:t>3.1.1 Architecture Backend (FastAPI/Python)</w:t>
      </w:r>
    </w:p>
    <w:p>
      <w:pPr>
        <w:spacing w:before="120" w:after="60"/>
        <w:jc w:val="center"/>
      </w:pPr>
      <w:r>
        <w:drawing>
          <wp:inline xmlns:a="http://schemas.openxmlformats.org/drawingml/2006/main" xmlns:pic="http://schemas.openxmlformats.org/drawingml/2006/picture">
            <wp:extent cx="5688000" cy="3318000"/>
            <wp:docPr id="2126421166" name="Picture 2126421166"/>
            <wp:cNvGraphicFramePr>
              <a:graphicFrameLocks noChangeAspect="1"/>
            </wp:cNvGraphicFramePr>
            <a:graphic>
              <a:graphicData uri="http://schemas.openxmlformats.org/drawingml/2006/picture">
                <pic:pic>
                  <pic:nvPicPr>
                    <pic:cNvPr id="0" name="figure05_architecture_backend.png"/>
                    <pic:cNvPicPr/>
                  </pic:nvPicPr>
                  <pic:blipFill>
                    <a:blip r:embed="rId16"/>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5 : Architecture technique backend — FastAPI</w:t>
      </w:r>
    </w:p>
    <w:p>
      <w:pPr>
        <w:jc w:val="both"/>
      </w:pPr>
      <w:r>
        <w:t>FastAPI expose les routeurs REST, valide les entrées et injecte les dépendances. SQLAlchemy assure la persistance PostgreSQL. APScheduler orchestre l’alerte COD à 18 h 00, le JIT à 20 h 00 et le dispatch à 21 h 35, dans le fuseau Africa/Casablanca.</w:t>
      </w:r>
    </w:p>
    <w:p>
      <w:pPr>
        <w:pStyle w:val="Heading2"/>
      </w:pPr>
      <w:r>
        <w:t>3.1.2 Architecture Frontend (Next.js/React)</w:t>
      </w:r>
    </w:p>
    <w:p>
      <w:pPr>
        <w:spacing w:before="120" w:after="60"/>
        <w:jc w:val="center"/>
      </w:pPr>
      <w:r>
        <w:drawing>
          <wp:inline xmlns:a="http://schemas.openxmlformats.org/drawingml/2006/main" xmlns:pic="http://schemas.openxmlformats.org/drawingml/2006/picture">
            <wp:extent cx="5688000" cy="3318000"/>
            <wp:docPr id="2126421167" name="Picture 2126421167"/>
            <wp:cNvGraphicFramePr>
              <a:graphicFrameLocks noChangeAspect="1"/>
            </wp:cNvGraphicFramePr>
            <a:graphic>
              <a:graphicData uri="http://schemas.openxmlformats.org/drawingml/2006/picture">
                <pic:pic>
                  <pic:nvPicPr>
                    <pic:cNvPr id="0" name="figure06_architecture_frontend.png"/>
                    <pic:cNvPicPr/>
                  </pic:nvPicPr>
                  <pic:blipFill>
                    <a:blip r:embed="rId17"/>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6 : Architecture technique frontend — Next.js / React</w:t>
      </w:r>
    </w:p>
    <w:p>
      <w:pPr>
        <w:jc w:val="both"/>
      </w:pPr>
      <w:r>
        <w:t>Le frontend utilise Next.js 16, React 19 et TypeScript. L’App Router organise les espaces client, livreur, fournisseur et administrateur. Les composants Radix/Shadcn, Tailwind CSS, Recharts et Mapbox fournissent l’interface et les visualisations.</w:t>
      </w:r>
    </w:p>
    <w:p>
      <w:pPr>
        <w:pStyle w:val="Heading2"/>
      </w:pPr>
      <w:r>
        <w:t>3.1.3 Architecture Mobile (PWA)</w:t>
      </w:r>
    </w:p>
    <w:p>
      <w:pPr>
        <w:jc w:val="both"/>
      </w:pPr>
      <w:r>
        <w:t>Le dépôt comprend à la fois une PWA web — manifeste, service worker et invite d’installation — et une application mobile React Native/Expo. Il convient donc de parler d’un canal web installable et d’un client mobile natif multiplateforme.</w:t>
      </w:r>
    </w:p>
    <w:p>
      <w:pPr>
        <w:pStyle w:val="Heading1"/>
      </w:pPr>
      <w:r>
        <w:t>3.2 Justification des choix technologiques</w:t>
      </w:r>
    </w:p>
    <w:p>
      <w:pPr>
        <w:pStyle w:val="Heading2"/>
      </w:pPr>
      <w:r>
        <w:t>3.2.1 Stack Backend (FastAPI, PostgreSQL, SQLAlchemy)</w:t>
      </w:r>
    </w:p>
    <w:p>
      <w:pPr>
        <w:spacing w:before="120" w:after="60"/>
        <w:jc w:val="center"/>
      </w:pPr>
      <w:r>
        <w:drawing>
          <wp:inline xmlns:a="http://schemas.openxmlformats.org/drawingml/2006/main" xmlns:pic="http://schemas.openxmlformats.org/drawingml/2006/picture">
            <wp:extent cx="5688000" cy="3318000"/>
            <wp:docPr id="2126421168" name="Picture 2126421168"/>
            <wp:cNvGraphicFramePr>
              <a:graphicFrameLocks noChangeAspect="1"/>
            </wp:cNvGraphicFramePr>
            <a:graphic>
              <a:graphicData uri="http://schemas.openxmlformats.org/drawingml/2006/picture">
                <pic:pic>
                  <pic:nvPicPr>
                    <pic:cNvPr id="0" name="figure07_architecture_couches.png"/>
                    <pic:cNvPicPr/>
                  </pic:nvPicPr>
                  <pic:blipFill>
                    <a:blip r:embed="rId18"/>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7 : Architecture en couches du backend</w:t>
      </w:r>
    </w:p>
    <w:p>
      <w:pPr>
        <w:jc w:val="both"/>
      </w:pPr>
      <w:r>
        <w:t>FastAPI convient à une API typée et modulaire ; PostgreSQL garantit un modèle relationnel adapté aux transactions ; SQLAlchemy permet d’exprimer relations, contraintes et requêtes métier en Python. Les interfaces DAO facilitent les tests et limitent le couplage.</w:t>
      </w:r>
    </w:p>
    <w:p>
      <w:pPr>
        <w:spacing w:before="160" w:after="80"/>
        <w:jc w:val="center"/>
      </w:pPr>
      <w:r>
        <w:rPr>
          <w:rFonts w:ascii="Times New Roman" w:hAnsi="Times New Roman"/>
          <w:b/>
          <w:color w:val="3C3C3C"/>
          <w:sz w:val="20"/>
        </w:rPr>
        <w:t>Tableau 3 : Comparaison des technologies frontend</w:t>
      </w:r>
    </w:p>
    <w:p>
      <w:pPr>
        <w:pStyle w:val="Heading2"/>
      </w:pPr>
      <w:r>
        <w:t>3.2.2 Stack Frontend (Next.js, TypeScript, Shadcn/UI, TailwindCSS)</w:t>
      </w:r>
    </w:p>
    <w:p>
      <w:pPr>
        <w:jc w:val="both"/>
      </w:pPr>
      <w:r>
        <w:t>Next.js fournit routage, rendu et proxy backend. TypeScript réduit les incohérences de contrats. Les composants accessibles de Radix/Shadcn et les classes Tailwind accélèrent la construction d’écrans homogènes.</w:t>
      </w:r>
    </w:p>
    <w:p>
      <w:pPr>
        <w:pStyle w:val="Heading2"/>
      </w:pPr>
      <w:r>
        <w:t>3.2.3 Services tiers (Hugging Face, Gemini AI, Google OAuth, Supabase, PayZone)</w:t>
      </w:r>
    </w:p>
    <w:p>
      <w:pPr>
        <w:spacing w:before="160" w:after="80"/>
        <w:jc w:val="center"/>
      </w:pPr>
      <w:r>
        <w:rPr>
          <w:rFonts w:ascii="Times New Roman" w:hAnsi="Times New Roman"/>
          <w:b/>
          <w:color w:val="3C3C3C"/>
          <w:sz w:val="20"/>
        </w:rPr>
        <w:t>Tableau 2 : Comparaison des technologies backend</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Service</w:t>
            </w:r>
          </w:p>
        </w:tc>
        <w:tc>
          <w:tcPr>
            <w:tcW w:type="dxa" w:w="3192"/>
            <w:shd w:fill="D9EAF7"/>
          </w:tcPr>
          <w:p>
            <w:r>
              <w:rPr>
                <w:b/>
              </w:rPr>
              <w:t>Usage vérifié</w:t>
            </w:r>
          </w:p>
        </w:tc>
        <w:tc>
          <w:tcPr>
            <w:tcW w:type="dxa" w:w="3192"/>
            <w:shd w:fill="D9EAF7"/>
          </w:tcPr>
          <w:p>
            <w:r>
              <w:rPr>
                <w:b/>
              </w:rPr>
              <w:t>Statut</w:t>
            </w:r>
          </w:p>
        </w:tc>
      </w:tr>
      <w:tr>
        <w:tc>
          <w:tcPr>
            <w:tcW w:type="dxa" w:w="3192"/>
            <w:vAlign w:val="center"/>
          </w:tcPr>
          <w:p>
            <w:r>
              <w:t>Hugging Face</w:t>
            </w:r>
          </w:p>
        </w:tc>
        <w:tc>
          <w:tcPr>
            <w:tcW w:type="dxa" w:w="3192"/>
            <w:vAlign w:val="center"/>
          </w:tcPr>
          <w:p>
            <w:r>
              <w:t>Inférence distante du modèle TahaBDI/gemma-2-2b-panier-merged.</w:t>
            </w:r>
          </w:p>
        </w:tc>
        <w:tc>
          <w:tcPr>
            <w:tcW w:type="dxa" w:w="3192"/>
            <w:vAlign w:val="center"/>
          </w:tcPr>
          <w:p>
            <w:r>
              <w:t>Implémenté avec fallback local.</w:t>
            </w:r>
          </w:p>
        </w:tc>
      </w:tr>
      <w:tr>
        <w:tc>
          <w:tcPr>
            <w:tcW w:type="dxa" w:w="3192"/>
            <w:vAlign w:val="center"/>
          </w:tcPr>
          <w:p>
            <w:r>
              <w:t>Gemini AI</w:t>
            </w:r>
          </w:p>
        </w:tc>
        <w:tc>
          <w:tcPr>
            <w:tcW w:type="dxa" w:w="3192"/>
            <w:vAlign w:val="center"/>
          </w:tcPr>
          <w:p>
            <w:r>
              <w:t>Extraction structurée d’une commande texte ou audio.</w:t>
            </w:r>
          </w:p>
        </w:tc>
        <w:tc>
          <w:tcPr>
            <w:tcW w:type="dxa" w:w="3192"/>
            <w:vAlign w:val="center"/>
          </w:tcPr>
          <w:p>
            <w:r>
              <w:t>Implémenté, dépend d’une clé API.</w:t>
            </w:r>
          </w:p>
        </w:tc>
      </w:tr>
      <w:tr>
        <w:tc>
          <w:tcPr>
            <w:tcW w:type="dxa" w:w="3192"/>
            <w:vAlign w:val="center"/>
          </w:tcPr>
          <w:p>
            <w:r>
              <w:t>Google OAuth</w:t>
            </w:r>
          </w:p>
        </w:tc>
        <w:tc>
          <w:tcPr>
            <w:tcW w:type="dxa" w:w="3192"/>
            <w:vAlign w:val="center"/>
          </w:tcPr>
          <w:p>
            <w:r>
              <w:t>Validation d’un ID token et création/connexion utilisateur.</w:t>
            </w:r>
          </w:p>
        </w:tc>
        <w:tc>
          <w:tcPr>
            <w:tcW w:type="dxa" w:w="3192"/>
            <w:vAlign w:val="center"/>
          </w:tcPr>
          <w:p>
            <w:r>
              <w:t>Implémenté.</w:t>
            </w:r>
          </w:p>
        </w:tc>
      </w:tr>
      <w:tr>
        <w:tc>
          <w:tcPr>
            <w:tcW w:type="dxa" w:w="3192"/>
            <w:vAlign w:val="center"/>
          </w:tcPr>
          <w:p>
            <w:r>
              <w:t>Supabase</w:t>
            </w:r>
          </w:p>
        </w:tc>
        <w:tc>
          <w:tcPr>
            <w:tcW w:type="dxa" w:w="3192"/>
            <w:vAlign w:val="center"/>
          </w:tcPr>
          <w:p>
            <w:r>
              <w:t>PostgreSQL selon configuration et stockage des avatars/médias.</w:t>
            </w:r>
          </w:p>
        </w:tc>
        <w:tc>
          <w:tcPr>
            <w:tcW w:type="dxa" w:w="3192"/>
            <w:vAlign w:val="center"/>
          </w:tcPr>
          <w:p>
            <w:r>
              <w:t>Implémenté selon variables d’environnement.</w:t>
            </w:r>
          </w:p>
        </w:tc>
      </w:tr>
      <w:tr>
        <w:tc>
          <w:tcPr>
            <w:tcW w:type="dxa" w:w="3192"/>
            <w:vAlign w:val="center"/>
          </w:tcPr>
          <w:p>
            <w:r>
              <w:t>PayZone / CMI</w:t>
            </w:r>
          </w:p>
        </w:tc>
        <w:tc>
          <w:tcPr>
            <w:tcW w:type="dxa" w:w="3192"/>
            <w:vAlign w:val="center"/>
          </w:tcPr>
          <w:p>
            <w:r>
              <w:t>Paiement par carte.</w:t>
            </w:r>
          </w:p>
        </w:tc>
        <w:tc>
          <w:tcPr>
            <w:tcW w:type="dxa" w:w="3192"/>
            <w:vAlign w:val="center"/>
          </w:tcPr>
          <w:p>
            <w:r>
              <w:t>Non vérifié ; option CMI désactivée dans le checkout.</w:t>
            </w:r>
          </w:p>
        </w:tc>
      </w:tr>
    </w:tbl>
    <w:p/>
    <w:p>
      <w:pPr>
        <w:spacing w:before="160" w:after="80"/>
        <w:jc w:val="center"/>
      </w:pPr>
      <w:r>
        <w:rPr>
          <w:rFonts w:ascii="Times New Roman" w:hAnsi="Times New Roman"/>
          <w:b/>
          <w:color w:val="3C3C3C"/>
          <w:sz w:val="20"/>
        </w:rPr>
        <w:t>Tableau 6 : Matrice des rôles et permissions (RBAC)</w:t>
      </w:r>
    </w:p>
    <w:p>
      <w:pPr>
        <w:pStyle w:val="Heading1"/>
      </w:pPr>
      <w:r>
        <w:t>3.3 Sécurité et authentification</w:t>
      </w:r>
    </w:p>
    <w:p>
      <w:pPr>
        <w:jc w:val="both"/>
      </w:pPr>
      <w:r>
        <w:t>Le backend applique bcrypt pour les secrets, JWT pour l’authentification stateless et un modèle RBAC persistant. Les OTP expirent après quinze minutes, sont limités en tentatives et en renvois, et sont stockés sous forme hachée. Les routes utilisent require_auth ou require_permission. La configuration CORS est limitée aux origines déclarées. Pour une mise en production, la gestion du JWT côté navigateur devra être durcie et complétée par une politique de rotation, des cookies HttpOnly et des tests de sécurité.</w:t>
      </w:r>
    </w:p>
    <w:p>
      <w:pPr>
        <w:pStyle w:val="Heading1"/>
      </w:pPr>
      <w:r>
        <w:t>Conclusion</w:t>
      </w:r>
    </w:p>
    <w:p>
      <w:pPr>
        <w:jc w:val="both"/>
      </w:pPr>
      <w:r>
        <w:t>La stack retenue est cohérente avec une application multi-clients et fortement orientée API. Les services externes restent découplés grâce aux variables d’environnement et aux mécanismes de repli.</w:t>
      </w:r>
    </w:p>
    <w:p>
      <w:r>
        <w:br w:type="page"/>
      </w:r>
    </w:p>
    <w:p>
      <w:pPr>
        <w:spacing w:before="1600"/>
        <w:jc w:val="center"/>
      </w:pPr>
      <w:r>
        <w:rPr>
          <w:rFonts w:ascii="Times New Roman" w:hAnsi="Times New Roman"/>
          <w:b/>
          <w:color w:val="1F4E79"/>
          <w:sz w:val="38"/>
        </w:rPr>
        <w:t>CHAPITRE 4 : RÉALISATION ET IMPLÉMENTATION</w:t>
      </w:r>
    </w:p>
    <w:p>
      <w:r>
        <w:br w:type="page"/>
      </w:r>
    </w:p>
    <w:p>
      <w:pPr>
        <w:pStyle w:val="Heading1"/>
      </w:pPr>
      <w:r>
        <w:t>Introduction</w:t>
      </w:r>
    </w:p>
    <w:p>
      <w:pPr>
        <w:jc w:val="both"/>
      </w:pPr>
      <w:r>
        <w:t>La réalisation est présentée module par module. Les descriptions ci-dessous correspondent aux contrôleurs, services, DAO, entités et écrans présents dans le dépôt.</w:t>
      </w:r>
    </w:p>
    <w:p>
      <w:pPr>
        <w:pStyle w:val="Heading1"/>
      </w:pPr>
      <w:r>
        <w:t>4.1 Modules développés</w:t>
      </w:r>
    </w:p>
    <w:p>
      <w:pPr>
        <w:pStyle w:val="Heading2"/>
      </w:pPr>
      <w:r>
        <w:t>4.1.1 Module d'authentification et gestion multi-rôles</w:t>
      </w:r>
    </w:p>
    <w:p>
      <w:pPr>
        <w:jc w:val="both"/>
      </w:pPr>
      <w:r>
        <w:t>Inscription email ou téléphone, OTP, connexion locale, Google OAuth, JWT, profils spécialisés et RBAC. Les rôles CLIENT, PARENT, LIVREUR, FOURNISSEUR et ADMIN déterminent les tableaux de bord et permissions.</w:t>
      </w:r>
    </w:p>
    <w:p>
      <w:pPr>
        <w:spacing w:before="120" w:after="60"/>
        <w:jc w:val="center"/>
      </w:pPr>
      <w:r>
        <w:drawing>
          <wp:inline xmlns:a="http://schemas.openxmlformats.org/drawingml/2006/main" xmlns:pic="http://schemas.openxmlformats.org/drawingml/2006/picture">
            <wp:extent cx="5688000" cy="4345000"/>
            <wp:docPr id="2126421178" name="Picture 2126421178"/>
            <wp:cNvGraphicFramePr>
              <a:graphicFrameLocks noChangeAspect="1"/>
            </wp:cNvGraphicFramePr>
            <a:graphic>
              <a:graphicData uri="http://schemas.openxmlformats.org/drawingml/2006/picture">
                <pic:pic>
                  <pic:nvPicPr>
                    <pic:cNvPr id="0" name="connexion.png"/>
                    <pic:cNvPicPr/>
                  </pic:nvPicPr>
                  <pic:blipFill>
                    <a:blip r:embed="rId28"/>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16 : Écran de sélection du profil de connexion</w:t>
      </w:r>
    </w:p>
    <w:p>
      <w:pPr>
        <w:pStyle w:val="Heading2"/>
      </w:pPr>
      <w:r>
        <w:t>4.1.2 Module Catalogue et gestion des produits</w:t>
      </w:r>
    </w:p>
    <w:p>
      <w:pPr>
        <w:jc w:val="both"/>
      </w:pPr>
      <w:r>
        <w:t>Catalogue actif, noms français/darija, prix, stock, unité, image, niveau tarifaire et rattachement fournisseur. L’administration gère produits et paramètres de pricing.</w:t>
      </w:r>
    </w:p>
    <w:p>
      <w:pPr>
        <w:spacing w:before="120" w:after="60"/>
        <w:jc w:val="center"/>
      </w:pPr>
      <w:r>
        <w:drawing>
          <wp:inline xmlns:a="http://schemas.openxmlformats.org/drawingml/2006/main" xmlns:pic="http://schemas.openxmlformats.org/drawingml/2006/picture">
            <wp:extent cx="5688000" cy="4345000"/>
            <wp:docPr id="2126421179" name="Picture 2126421179"/>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Vue réelle du catalogue de produits</w:t>
      </w:r>
    </w:p>
    <w:p>
      <w:pPr>
        <w:pStyle w:val="Heading2"/>
      </w:pPr>
      <w:r>
        <w:t>4.1.3 Module Panier (manuel, texte, vocal)</w:t>
      </w:r>
    </w:p>
    <w:p>
      <w:pPr>
        <w:jc w:val="both"/>
      </w:pPr>
      <w:r>
        <w:t>Ajout et modification des lignes, calcul des sous-totaux et frais de livraison, génération d’un panier par critères, ainsi que création de brouillons à partir de texte ou audio.</w:t>
      </w:r>
    </w:p>
    <w:p>
      <w:pPr>
        <w:spacing w:before="160" w:after="160"/>
        <w:jc w:val="both"/>
      </w:pPr>
      <w:r>
        <w:rPr>
          <w:b/>
          <w:color w:val="C00000"/>
        </w:rPr>
      </w:r>
      <w:r>
        <w:t>Le catalogue présenté à la figure 15 expose les entrées du panier manuel, du panier intelligent et de l’assistant vocal.</w:t>
      </w:r>
    </w:p>
    <w:p>
      <w:pPr>
        <w:pStyle w:val="Heading2"/>
      </w:pPr>
      <w:r>
        <w:t>4.1.4 Module IA - Assistant vocal (Gemma-2-2B fine-tune QLoRA)</w:t>
      </w:r>
    </w:p>
    <w:p>
      <w:pPr>
        <w:jc w:val="both"/>
      </w:pPr>
      <w:r>
        <w:t>Deux chaînes coexistent : Gemini extrait les produits d’un texte ou d’un audio ; Gemma-2 génère une composition de panier depuis un budget, un nombre de personnes, une durée et un profil. Le dépôt prouve l’appel au modèle fusionné, mais pas le protocole d’entraînement QLoRA ; celui-ci doit être documenté par le notebook et les artefacts d’apprentissage.</w:t>
      </w:r>
    </w:p>
    <w:p>
      <w:pPr>
        <w:spacing w:before="160" w:after="160"/>
        <w:jc w:val="both"/>
      </w:pPr>
      <w:r>
        <w:rPr>
          <w:b/>
          <w:color w:val="C00000"/>
        </w:rPr>
      </w:r>
      <w:r>
        <w:t>L’interface publique de la figure 15 présente l’accès au panier intelligent et à l’assistant IA.</w:t>
      </w:r>
    </w:p>
    <w:p>
      <w:pPr>
        <w:spacing w:before="160" w:after="80"/>
        <w:jc w:val="center"/>
      </w:pPr>
      <w:r>
        <w:rPr>
          <w:rFonts w:ascii="Times New Roman" w:hAnsi="Times New Roman"/>
          <w:b/>
          <w:color w:val="3C3C3C"/>
          <w:sz w:val="20"/>
        </w:rPr>
        <w:t>Tableau 8 : Statuts du cycle de vie d’une commande</w:t>
      </w:r>
    </w:p>
    <w:p>
      <w:pPr>
        <w:pStyle w:val="Heading2"/>
      </w:pPr>
      <w:r>
        <w:t>4.1.5 Module Checkout et paiement</w:t>
      </w:r>
    </w:p>
    <w:p>
      <w:pPr>
        <w:jc w:val="both"/>
      </w:pPr>
      <w:r>
        <w:t>Le checkout contrôle panier, adresse, créneau, blacklist COD et mode de paiement. Le COD et le wallet sont représentés. Le paiement CMI est annoncé dans l’interface mais désactivé et ne doit pas être présenté comme opérationnel.</w:t>
      </w:r>
    </w:p>
    <w:p>
      <w:pPr>
        <w:pStyle w:val="Heading2"/>
      </w:pPr>
      <w:r>
        <w:t>4.1.6 Module Agrégation JIT</w:t>
      </w:r>
    </w:p>
    <w:p>
      <w:pPr>
        <w:jc w:val="both"/>
      </w:pPr>
      <w:r>
        <w:t>Agrégation quotidienne, buffer de 10 %, journalisation, zones régionales, résolution du fournisseur, verrouillage et déverrouillage administratif.</w:t>
      </w:r>
    </w:p>
    <w:p>
      <w:pPr>
        <w:pStyle w:val="Heading2"/>
      </w:pPr>
      <w:r>
        <w:t>4.1.7 Module Dispatch et optimisation des tournées</w:t>
      </w:r>
    </w:p>
    <w:p>
      <w:pPr>
        <w:jc w:val="both"/>
      </w:pPr>
      <w:r>
        <w:t>Génération des tournées du lendemain, allocation des livreurs par fournisseur, équilibrage des lots et ordre de passage fondé sur une heuristique de proximité utilisant la distance de Haversine.</w:t>
      </w:r>
    </w:p>
    <w:p>
      <w:pPr>
        <w:pStyle w:val="Heading2"/>
      </w:pPr>
      <w:r>
        <w:t>4.1.8 Module Livreur (tracking, évènements de livraison)</w:t>
      </w:r>
    </w:p>
    <w:p>
      <w:pPr>
        <w:jc w:val="both"/>
      </w:pPr>
      <w:r>
        <w:t>Consultation de tournée, ramassage fournisseur, démarrage, événements de livraison, retours dépôt, anomalies et validation du paiement COD.</w:t>
      </w:r>
    </w:p>
    <w:p>
      <w:pPr>
        <w:pStyle w:val="Heading2"/>
      </w:pPr>
      <w:r>
        <w:t>4.1.9 Module Fournisseur (marketplace B2B)</w:t>
      </w:r>
    </w:p>
    <w:p>
      <w:pPr>
        <w:jc w:val="both"/>
      </w:pPr>
      <w:r>
        <w:t>Demande fournisseur, validation administrative, profil boutique, offres produit, préparation des commandes et statistiques quotidiennes. Le terme marketplace décrit ici la relation multi-fournisseurs, non une place de marché publique complète.</w:t>
      </w:r>
    </w:p>
    <w:p>
      <w:pPr>
        <w:pStyle w:val="Heading2"/>
      </w:pPr>
      <w:r>
        <w:t>4.1.10 Module Réclamations et Wallet</w:t>
      </w:r>
    </w:p>
    <w:p>
      <w:pPr>
        <w:jc w:val="both"/>
      </w:pPr>
      <w:r>
        <w:t>Une réclamation référence commande et ligne de panier. Le remboursement validé crédite le SoukiWallet et crée une transaction. La table wallets constitue la source moderne ; t_wallets reste un héritage de migration.</w:t>
      </w:r>
    </w:p>
    <w:p>
      <w:pPr>
        <w:pStyle w:val="Heading1"/>
      </w:pPr>
      <w:r>
        <w:t>4.2 Dashboards spécialisés</w:t>
      </w:r>
    </w:p>
    <w:p>
      <w:pPr>
        <w:jc w:val="both"/>
      </w:pPr>
      <w:r>
        <w:t>Le client dispose du catalogue, du checkout, de l’historique et des paramètres. Le fournisseur suit ses produits, commandes et préparations. Le livreur visualise ses tournées et actions opérationnelles. L’administrateur consulte KPI, clients, commandes, produits, prix, fournisseurs, zones, livreurs, blacklist et exceptions.</w:t>
      </w:r>
    </w:p>
    <w:p>
      <w:pPr>
        <w:pStyle w:val="Heading1"/>
      </w:pPr>
      <w:r>
        <w:t>4.3 Intégrations externes</w:t>
      </w:r>
    </w:p>
    <w:p>
      <w:pPr>
        <w:jc w:val="both"/>
      </w:pPr>
      <w:r>
        <w:t>Les intégrations sont isolées dans des services ou bibliothèques dédiés : Google pour OAuth, Gemini pour l’analyse multimodale, Hugging Face pour l’inférence ML, Supabase pour le stockage, SMTP pour les emails et Mapbox pour la cartographie. Chacune dépend de variables d’environnement et doit être testée dans le contexte de déploiement.</w:t>
      </w:r>
    </w:p>
    <w:p>
      <w:pPr>
        <w:pStyle w:val="Heading1"/>
      </w:pPr>
      <w:r>
        <w:t>Conclusion</w:t>
      </w:r>
    </w:p>
    <w:p>
      <w:pPr>
        <w:jc w:val="both"/>
      </w:pPr>
      <w:r>
        <w:t>La réalisation couvre la chaîne principale de commande et de livraison. Les éléments encore incomplets sont explicitement identifiés afin d’éviter de confondre prototype fonctionnel et service de production.</w:t>
      </w:r>
    </w:p>
    <w:p>
      <w:r>
        <w:br w:type="page"/>
      </w:r>
    </w:p>
    <w:p>
      <w:pPr>
        <w:spacing w:before="1600"/>
        <w:jc w:val="center"/>
      </w:pPr>
      <w:r>
        <w:rPr>
          <w:rFonts w:ascii="Times New Roman" w:hAnsi="Times New Roman"/>
          <w:b/>
          <w:color w:val="1F4E79"/>
          <w:sz w:val="38"/>
        </w:rPr>
        <w:t>CHAPITRE 5 : ETUDE FINANCIÈRE ET MODÈLE ECONOMIQUE</w:t>
      </w:r>
    </w:p>
    <w:p>
      <w:r>
        <w:br w:type="page"/>
      </w:r>
    </w:p>
    <w:p>
      <w:pPr>
        <w:pStyle w:val="Heading1"/>
      </w:pPr>
      <w:r>
        <w:t>Introduction</w:t>
      </w:r>
    </w:p>
    <w:p>
      <w:pPr>
        <w:jc w:val="both"/>
      </w:pPr>
      <w:r>
        <w:t>Les documents internes décrivent une stratégie de prix et plusieurs simulations. Faute de factures d’achat, coûts salariaux consolidés, historique de ventes et relevés de paiement, ce chapitre les traite comme des hypothèses prévisionnelles.</w:t>
      </w:r>
    </w:p>
    <w:p>
      <w:pPr>
        <w:pStyle w:val="Heading1"/>
      </w:pPr>
      <w:r>
        <w:t>5.1 Modèle Lean Startup / Zéro Gaspillage (Flux Tendu)</w:t>
      </w:r>
    </w:p>
    <w:p>
      <w:pPr>
        <w:jc w:val="both"/>
      </w:pPr>
      <w:r>
        <w:t>Le principe est de retarder l’approvisionnement jusqu’à la consolidation des commandes. Le JIT implémenté fournit le mécanisme technique : agrégation, buffer, verrouillage et liste d’achat. L’expression « zéro gaspillage » représente une cible ; le buffer de 10 % montre qu’une marge physique demeure prévue.</w:t>
      </w:r>
    </w:p>
    <w:p>
      <w:pPr>
        <w:pStyle w:val="Heading1"/>
      </w:pPr>
      <w:r>
        <w:t>5.2 Stratégie tarifaire (Produits d'Appel, Lissage de marge)</w:t>
      </w:r>
    </w:p>
    <w:p>
      <w:pPr>
        <w:jc w:val="both"/>
      </w:pPr>
      <w:r>
        <w:t>Le modèle de pricing classe les produits en trois niveaux : produits d’appel, produits courants et produits à plus forte valeur. Les champs de marge cible, coussin de sécurité, prix de gros et prix affiché permettent une gestion différenciée. Les pourcentages proposés dans le document de stratégie doivent être calibrés à partir de prix réels et validés juridiquement et commercialement.</w:t>
      </w:r>
    </w:p>
    <w:p>
      <w:pPr>
        <w:pStyle w:val="Heading1"/>
      </w:pPr>
      <w:r>
        <w:t>5.3 Rentabilité par panier et projection mensuelle</w:t>
      </w:r>
    </w:p>
    <w:p>
      <w:pPr>
        <w:jc w:val="both"/>
      </w:pPr>
      <w:r>
        <w:t>Une rentabilité exploitable devra calculer, par commande, le chiffre d’affaires encaissé, le coût d’achat réel, l’emballage, la livraison, les frais de paiement, les remboursements et les pertes. Les projections actuelles ne constituent pas des résultats. [INFORMATION NON VÉRIFIABLE DANS LE CODE SOURCE – VALIDATION HUMAINE REQUISE]</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Indicateur à mesurer</w:t>
            </w:r>
          </w:p>
        </w:tc>
        <w:tc>
          <w:tcPr>
            <w:tcW w:type="dxa" w:w="4788"/>
            <w:shd w:fill="D9EAF7"/>
          </w:tcPr>
          <w:p>
            <w:r>
              <w:rPr>
                <w:b/>
              </w:rPr>
              <w:t>Source attendue</w:t>
            </w:r>
          </w:p>
        </w:tc>
      </w:tr>
      <w:tr>
        <w:tc>
          <w:tcPr>
            <w:tcW w:type="dxa" w:w="4788"/>
            <w:vAlign w:val="center"/>
          </w:tcPr>
          <w:p>
            <w:r>
              <w:t>Panier moyen</w:t>
            </w:r>
          </w:p>
        </w:tc>
        <w:tc>
          <w:tcPr>
            <w:tcW w:type="dxa" w:w="4788"/>
            <w:vAlign w:val="center"/>
          </w:tcPr>
          <w:p>
            <w:r>
              <w:t>Commandes livrées et payées.</w:t>
            </w:r>
          </w:p>
        </w:tc>
      </w:tr>
      <w:tr>
        <w:tc>
          <w:tcPr>
            <w:tcW w:type="dxa" w:w="4788"/>
            <w:vAlign w:val="center"/>
          </w:tcPr>
          <w:p>
            <w:r>
              <w:t>Marge brute produit</w:t>
            </w:r>
          </w:p>
        </w:tc>
        <w:tc>
          <w:tcPr>
            <w:tcW w:type="dxa" w:w="4788"/>
            <w:vAlign w:val="center"/>
          </w:tcPr>
          <w:p>
            <w:r>
              <w:t>Prix de vente moins coût d’achat facturé.</w:t>
            </w:r>
          </w:p>
        </w:tc>
      </w:tr>
      <w:tr>
        <w:tc>
          <w:tcPr>
            <w:tcW w:type="dxa" w:w="4788"/>
            <w:vAlign w:val="center"/>
          </w:tcPr>
          <w:p>
            <w:r>
              <w:t>Coût de livraison</w:t>
            </w:r>
          </w:p>
        </w:tc>
        <w:tc>
          <w:tcPr>
            <w:tcW w:type="dxa" w:w="4788"/>
            <w:vAlign w:val="center"/>
          </w:tcPr>
          <w:p>
            <w:r>
              <w:t>Temps, distance, carburant et rémunération.</w:t>
            </w:r>
          </w:p>
        </w:tc>
      </w:tr>
      <w:tr>
        <w:tc>
          <w:tcPr>
            <w:tcW w:type="dxa" w:w="4788"/>
            <w:vAlign w:val="center"/>
          </w:tcPr>
          <w:p>
            <w:r>
              <w:t>Taux de perte</w:t>
            </w:r>
          </w:p>
        </w:tc>
        <w:tc>
          <w:tcPr>
            <w:tcW w:type="dxa" w:w="4788"/>
            <w:vAlign w:val="center"/>
          </w:tcPr>
          <w:p>
            <w:r>
              <w:t>Quantités achetées, livrées et jetées.</w:t>
            </w:r>
          </w:p>
        </w:tc>
      </w:tr>
      <w:tr>
        <w:tc>
          <w:tcPr>
            <w:tcW w:type="dxa" w:w="4788"/>
            <w:vAlign w:val="center"/>
          </w:tcPr>
          <w:p>
            <w:r>
              <w:t>Coût d’acquisition</w:t>
            </w:r>
          </w:p>
        </w:tc>
        <w:tc>
          <w:tcPr>
            <w:tcW w:type="dxa" w:w="4788"/>
            <w:vAlign w:val="center"/>
          </w:tcPr>
          <w:p>
            <w:r>
              <w:t>Dépenses marketing et nouveaux clients actifs.</w:t>
            </w:r>
          </w:p>
        </w:tc>
      </w:tr>
    </w:tbl>
    <w:p/>
    <w:p>
      <w:pPr>
        <w:pStyle w:val="Heading1"/>
      </w:pPr>
      <w:r>
        <w:t>5.4 Ecosystème de paiement et stratégie d'acquisition</w:t>
      </w:r>
    </w:p>
    <w:p>
      <w:pPr>
        <w:jc w:val="both"/>
      </w:pPr>
      <w:r>
        <w:t>Le code gère le COD, la confirmation téléphonique, la blacklist associée et SoukiWallet. Le CMI reste désactivé. Le parrainage est représenté dans le profil client, mais son coût d’acquisition et son efficacité n’ont pas été mesurés.</w:t>
      </w:r>
    </w:p>
    <w:p>
      <w:pPr>
        <w:pStyle w:val="Heading1"/>
      </w:pPr>
      <w:r>
        <w:t>5.5 Gestion des risques opérationnels</w:t>
      </w:r>
    </w:p>
    <w:p>
      <w:pPr>
        <w:ind w:left="340" w:hanging="198"/>
      </w:pPr>
      <w:r>
        <w:rPr>
          <w:b/>
        </w:rPr>
        <w:t xml:space="preserve">• </w:t>
      </w:r>
      <w:r>
        <w:t>Variabilité du prix de gros : mise à jour fréquente et garde-fous de marge.</w:t>
      </w:r>
    </w:p>
    <w:p>
      <w:pPr>
        <w:ind w:left="340" w:hanging="198"/>
      </w:pPr>
      <w:r>
        <w:rPr>
          <w:b/>
        </w:rPr>
        <w:t xml:space="preserve">• </w:t>
      </w:r>
      <w:r>
        <w:t>Échec de livraison COD : confirmation, blacklist, événements et anomalies.</w:t>
      </w:r>
    </w:p>
    <w:p>
      <w:pPr>
        <w:ind w:left="340" w:hanging="198"/>
      </w:pPr>
      <w:r>
        <w:rPr>
          <w:b/>
        </w:rPr>
        <w:t xml:space="preserve">• </w:t>
      </w:r>
      <w:r>
        <w:t>Dépendance fournisseur : zones, offres et résolution par commande.</w:t>
      </w:r>
    </w:p>
    <w:p>
      <w:pPr>
        <w:ind w:left="340" w:hanging="198"/>
      </w:pPr>
      <w:r>
        <w:rPr>
          <w:b/>
        </w:rPr>
        <w:t xml:space="preserve">• </w:t>
      </w:r>
      <w:r>
        <w:t>Remboursements : crédit wallet traçable et détection de réclamations suspectes.</w:t>
      </w:r>
    </w:p>
    <w:p>
      <w:pPr>
        <w:ind w:left="340" w:hanging="198"/>
      </w:pPr>
      <w:r>
        <w:rPr>
          <w:b/>
        </w:rPr>
        <w:t xml:space="preserve">• </w:t>
      </w:r>
      <w:r>
        <w:t>Sous-dimensionnement logistique : mesure des distances et équilibrage des tournées.</w:t>
      </w:r>
    </w:p>
    <w:p>
      <w:pPr>
        <w:pStyle w:val="Heading1"/>
      </w:pPr>
      <w:r>
        <w:t>Conclusion</w:t>
      </w:r>
    </w:p>
    <w:p>
      <w:pPr>
        <w:jc w:val="both"/>
      </w:pPr>
      <w:r>
        <w:t>Le modèle économique est techniquement instrumenté mais pas encore démontré. La prochaine étape consiste à réaliser un pilote et à remplacer chaque hypothèse par une mesure horodatée et vérifiable.</w:t>
      </w:r>
    </w:p>
    <w:p>
      <w:r>
        <w:br w:type="page"/>
      </w:r>
    </w:p>
    <w:p>
      <w:pPr>
        <w:spacing w:before="1600"/>
        <w:jc w:val="center"/>
      </w:pPr>
      <w:r>
        <w:rPr>
          <w:rFonts w:ascii="Times New Roman" w:hAnsi="Times New Roman"/>
          <w:b/>
          <w:color w:val="1F4E79"/>
          <w:sz w:val="38"/>
        </w:rPr>
        <w:t>CHAPITRE 6 : GESTION DE PROJET</w:t>
      </w:r>
    </w:p>
    <w:p>
      <w:r>
        <w:br w:type="page"/>
      </w:r>
    </w:p>
    <w:p>
      <w:pPr>
        <w:pStyle w:val="Heading1"/>
      </w:pPr>
      <w:r>
        <w:t>Introduction</w:t>
      </w:r>
    </w:p>
    <w:p>
      <w:pPr>
        <w:jc w:val="both"/>
      </w:pPr>
      <w:r>
        <w:t>L’historique Git, les branches fonctionnelles, les pull requests fusionnées, les tests et la documentation témoignent d’un développement itératif réparti par domaines.</w:t>
      </w:r>
    </w:p>
    <w:p>
      <w:pPr>
        <w:pStyle w:val="Heading1"/>
      </w:pPr>
      <w:r>
        <w:t>6.1 Méthodologie adoptée (Agile)</w:t>
      </w:r>
    </w:p>
    <w:p>
      <w:pPr>
        <w:jc w:val="both"/>
      </w:pPr>
      <w:r>
        <w:t>Le dépôt reflète une démarche incrémentale : authentification, catalogue, commande vocale, JIT, logistique, wallet, pricing, fournisseur et mobile ont été développés sur des branches distinctes puis intégrés. Cette organisation se rapproche d’une approche Agile par fonctionnalités.</w:t>
      </w:r>
    </w:p>
    <w:p>
      <w:pPr>
        <w:pStyle w:val="Heading1"/>
      </w:pPr>
      <w:r>
        <w:t>6.2 Gestion des tâches avec GitHub</w:t>
      </w:r>
    </w:p>
    <w:p>
      <w:pPr>
        <w:pStyle w:val="Heading2"/>
      </w:pPr>
      <w:r>
        <w:t>6.2.1 Utilisation du tableau Kanban</w:t>
      </w:r>
    </w:p>
    <w:p>
      <w:pPr>
        <w:jc w:val="both"/>
      </w:pPr>
      <w:r>
        <w:t>Les références aux missions, tâches restantes et checklists montrent un suivi par lots. Une capture du tableau GitHub Projects est néanmoins nécessaire pour prouver la structure exacte du Kanban.</w:t>
      </w:r>
    </w:p>
    <w:p>
      <w:pPr>
        <w:spacing w:before="160" w:after="160"/>
        <w:jc w:val="center"/>
      </w:pPr>
      <w:r>
        <w:rPr>
          <w:b/>
          <w:color w:val="C00000"/>
        </w:rPr>
        <w:t>[À FAIRE : INSÉRER ICI UNE CAPTURE DU TABLEAU KANBAN GITHUB PROJECTS]</w:t>
      </w:r>
    </w:p>
    <w:p>
      <w:pPr>
        <w:pStyle w:val="Heading2"/>
      </w:pPr>
      <w:r>
        <w:t>6.2.2 Gestion des issues et pull requests</w:t>
      </w:r>
    </w:p>
    <w:p>
      <w:pPr>
        <w:jc w:val="both"/>
      </w:pPr>
      <w:r>
        <w:t>L’historique contient de nombreuses fusions de pull requests et des branches nommées par fonctionnalité. La convention favorise la traçabilité du domaine traité, même si certains messages de commit gagneraient à être plus descriptifs.</w:t>
      </w:r>
    </w:p>
    <w:p>
      <w:pPr>
        <w:pStyle w:val="Heading2"/>
      </w:pPr>
      <w:r>
        <w:t>6.2.3 Roadmap</w:t>
      </w:r>
    </w:p>
    <w:p>
      <w:pPr>
        <w:jc w:val="both"/>
      </w:pPr>
      <w:r>
        <w:t>La roadmap observable progresse du socle d’authentification et de catalogue vers le checkout, le JIT, la logistique, l’administration, les fournisseurs et l’application mobile. Les prochaines étapes recommandées sont l’intégration réelle du paiement carte, la sécurisation production, la mesure de performance et le pilote métier.</w:t>
      </w:r>
    </w:p>
    <w:p>
      <w:pPr>
        <w:pStyle w:val="Heading1"/>
      </w:pPr>
      <w:r>
        <w:t>6.3 Répartition des tâches dans l'équipe</w:t>
      </w:r>
    </w:p>
    <w:p>
      <w:pPr>
        <w:jc w:val="both"/>
      </w:pPr>
      <w:r>
        <w:t>Les fichiers fournis ne contiennent pas une matrice officielle reliant chaque membre à ses livrables. [INFORMATION NON VÉRIFIABLE DANS LE CODE SOURCE – VALIDATION HUMAINE REQUISE]</w:t>
      </w:r>
    </w:p>
    <w:p>
      <w:pPr>
        <w:spacing w:before="160" w:after="160"/>
        <w:jc w:val="center"/>
      </w:pPr>
      <w:r>
        <w:rPr>
          <w:b/>
          <w:color w:val="C00000"/>
        </w:rPr>
        <w:t>[À FAIRE : COMPLÉTER LA RÉPARTITION DES TÂCHES ENTRE BOURKKADI IDRISSI TAHA, ZMAROU HAMZA ET SGHIRI SALAH EDDINE]</w:t>
      </w:r>
    </w:p>
    <w:p>
      <w:pPr>
        <w:spacing w:before="160" w:after="80"/>
        <w:jc w:val="center"/>
      </w:pPr>
      <w:r>
        <w:rPr>
          <w:rFonts w:ascii="Times New Roman" w:hAnsi="Times New Roman"/>
          <w:b/>
          <w:color w:val="3C3C3C"/>
          <w:sz w:val="20"/>
        </w:rPr>
        <w:t>Tableau 9 : Planning de développement par phase</w:t>
      </w:r>
    </w:p>
    <w:p>
      <w:pPr>
        <w:pStyle w:val="Heading1"/>
      </w:pPr>
      <w:r>
        <w:t>6.4 Planning et Diagramme de Gantt</w:t>
      </w:r>
    </w:p>
    <w:p>
      <w:pPr>
        <w:jc w:val="both"/>
      </w:pPr>
      <w:r>
        <w:t>Les dates des migrations et des commits permettent de reconstruire une chronologie, mais elles ne remplacent pas un planning validé indiquant début, fin, dépendances et responsables.</w:t>
      </w:r>
    </w:p>
    <w:p>
      <w:pPr>
        <w:spacing w:before="160" w:after="160"/>
        <w:jc w:val="center"/>
      </w:pPr>
      <w:r>
        <w:rPr>
          <w:b/>
          <w:color w:val="C00000"/>
        </w:rPr>
        <w:t>[À FAIRE : INSÉRER ICI LE DIAGRAMME DE GANTT VALIDÉ PAR L’ÉQUIPE]</w:t>
      </w:r>
    </w:p>
    <w:p>
      <w:pPr>
        <w:pStyle w:val="Heading1"/>
      </w:pPr>
      <w:r>
        <w:t>Conclusion</w:t>
      </w:r>
    </w:p>
    <w:p>
      <w:pPr>
        <w:jc w:val="both"/>
      </w:pPr>
      <w:r>
        <w:t>La gestion par branches et intégrations successives a permis d’élargir progressivement le périmètre. La formalisation du Kanban, de la répartition et du Gantt reste à compléter avec les données de l’équipe.</w:t>
      </w:r>
    </w:p>
    <w:p>
      <w:r>
        <w:br w:type="page"/>
      </w:r>
    </w:p>
    <w:p>
      <w:pPr>
        <w:spacing w:before="1600"/>
        <w:jc w:val="center"/>
      </w:pPr>
      <w:r>
        <w:rPr>
          <w:rFonts w:ascii="Times New Roman" w:hAnsi="Times New Roman"/>
          <w:b/>
          <w:color w:val="1F4E79"/>
          <w:sz w:val="38"/>
        </w:rPr>
        <w:t>CHAPITRE 7 : RÉSULTATS ET EVALUATION</w:t>
      </w:r>
    </w:p>
    <w:p>
      <w:r>
        <w:br w:type="page"/>
      </w:r>
    </w:p>
    <w:p>
      <w:pPr>
        <w:pStyle w:val="Heading1"/>
      </w:pPr>
      <w:r>
        <w:t>Introduction</w:t>
      </w:r>
    </w:p>
    <w:p>
      <w:pPr>
        <w:jc w:val="both"/>
      </w:pPr>
      <w:r>
        <w:t>L’évaluation distingue les résultats démontrables dans le dépôt des résultats nécessitant une exécution instrumentée ou un pilote utilisateur.</w:t>
      </w:r>
    </w:p>
    <w:p>
      <w:pPr>
        <w:spacing w:before="160" w:after="80"/>
        <w:jc w:val="center"/>
      </w:pPr>
      <w:r>
        <w:rPr>
          <w:rFonts w:ascii="Times New Roman" w:hAnsi="Times New Roman"/>
          <w:b/>
          <w:color w:val="3C3C3C"/>
          <w:sz w:val="20"/>
        </w:rPr>
        <w:t>Tableau 10 : Métriques de performance et de qualité</w:t>
      </w:r>
    </w:p>
    <w:p>
      <w:pPr>
        <w:pStyle w:val="Heading1"/>
      </w:pPr>
      <w:r>
        <w:t>7.1 Bilan du projet</w:t>
      </w:r>
    </w:p>
    <w:p>
      <w:pPr>
        <w:ind w:left="340" w:hanging="198"/>
      </w:pPr>
      <w:r>
        <w:rPr>
          <w:b/>
        </w:rPr>
        <w:t xml:space="preserve">• </w:t>
      </w:r>
      <w:r>
        <w:t>API FastAPI structurée en couches et connectée à PostgreSQL.</w:t>
      </w:r>
    </w:p>
    <w:p>
      <w:pPr>
        <w:ind w:left="340" w:hanging="198"/>
      </w:pPr>
      <w:r>
        <w:rPr>
          <w:b/>
        </w:rPr>
        <w:t xml:space="preserve">• </w:t>
      </w:r>
      <w:r>
        <w:t>Interfaces web et mobile couvrant plusieurs rôles.</w:t>
      </w:r>
    </w:p>
    <w:p>
      <w:pPr>
        <w:ind w:left="340" w:hanging="198"/>
      </w:pPr>
      <w:r>
        <w:rPr>
          <w:b/>
        </w:rPr>
        <w:t xml:space="preserve">• </w:t>
      </w:r>
      <w:r>
        <w:t>Authentification locale, OTP, Google OAuth et RBAC.</w:t>
      </w:r>
    </w:p>
    <w:p>
      <w:pPr>
        <w:ind w:left="340" w:hanging="198"/>
      </w:pPr>
      <w:r>
        <w:rPr>
          <w:b/>
        </w:rPr>
        <w:t xml:space="preserve">• </w:t>
      </w:r>
      <w:r>
        <w:t>Chaîne catalogue, panier, checkout, commande, JIT, fournisseur, dispatch et livraison.</w:t>
      </w:r>
    </w:p>
    <w:p>
      <w:pPr>
        <w:ind w:left="340" w:hanging="198"/>
      </w:pPr>
      <w:r>
        <w:rPr>
          <w:b/>
        </w:rPr>
        <w:t xml:space="preserve">• </w:t>
      </w:r>
      <w:r>
        <w:t>Dix fichiers de tests backend ciblant notamment JIT, logistique, fournisseurs, zones et cloisonnement.</w:t>
      </w:r>
    </w:p>
    <w:p>
      <w:pPr>
        <w:ind w:left="340" w:hanging="198"/>
      </w:pPr>
      <w:r>
        <w:rPr>
          <w:b/>
        </w:rPr>
        <w:t xml:space="preserve">• </w:t>
      </w:r>
      <w:r>
        <w:t>Documentation technique importante, mais parfois plus ambitieuse que l’implémentation actuelle.</w:t>
      </w:r>
    </w:p>
    <w:p>
      <w:pPr>
        <w:jc w:val="both"/>
      </w:pPr>
      <w:r>
        <w:t>Aucune mesure fiable de charge, de disponibilité, de taux de conversion ou de satisfaction n’est archivée dans le dépôt. Ces indicateurs ne sont donc pas chiffrés.</w:t>
      </w:r>
    </w:p>
    <w:p>
      <w:pPr>
        <w:pStyle w:val="Heading1"/>
      </w:pPr>
      <w:r>
        <w:t>7.2 Difficultés rencontrées et solutions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Difficulté</w:t>
            </w:r>
          </w:p>
        </w:tc>
        <w:tc>
          <w:tcPr>
            <w:tcW w:type="dxa" w:w="4788"/>
            <w:shd w:fill="D9EAF7"/>
          </w:tcPr>
          <w:p>
            <w:r>
              <w:rPr>
                <w:b/>
              </w:rPr>
              <w:t>Réponse apportée</w:t>
            </w:r>
          </w:p>
        </w:tc>
      </w:tr>
      <w:tr>
        <w:tc>
          <w:tcPr>
            <w:tcW w:type="dxa" w:w="4788"/>
            <w:vAlign w:val="center"/>
          </w:tcPr>
          <w:p>
            <w:r>
              <w:t>Coordination de nombreux rôles</w:t>
            </w:r>
          </w:p>
        </w:tc>
        <w:tc>
          <w:tcPr>
            <w:tcW w:type="dxa" w:w="4788"/>
            <w:vAlign w:val="center"/>
          </w:tcPr>
          <w:p>
            <w:r>
              <w:t>RBAC, profils spécialisés et route guards.</w:t>
            </w:r>
          </w:p>
        </w:tc>
      </w:tr>
      <w:tr>
        <w:tc>
          <w:tcPr>
            <w:tcW w:type="dxa" w:w="4788"/>
            <w:vAlign w:val="center"/>
          </w:tcPr>
          <w:p>
            <w:r>
              <w:t>Évolution du schéma</w:t>
            </w:r>
          </w:p>
        </w:tc>
        <w:tc>
          <w:tcPr>
            <w:tcW w:type="dxa" w:w="4788"/>
            <w:vAlign w:val="center"/>
          </w:tcPr>
          <w:p>
            <w:r>
              <w:t>Scripts SQL et services de synchronisation au démarrage.</w:t>
            </w:r>
          </w:p>
        </w:tc>
      </w:tr>
      <w:tr>
        <w:tc>
          <w:tcPr>
            <w:tcW w:type="dxa" w:w="4788"/>
            <w:vAlign w:val="center"/>
          </w:tcPr>
          <w:p>
            <w:r>
              <w:t>Disponibilité du modèle ML</w:t>
            </w:r>
          </w:p>
        </w:tc>
        <w:tc>
          <w:tcPr>
            <w:tcW w:type="dxa" w:w="4788"/>
            <w:vAlign w:val="center"/>
          </w:tcPr>
          <w:p>
            <w:r>
              <w:t>Inférence Hugging Face avec fallback de compositions local.</w:t>
            </w:r>
          </w:p>
        </w:tc>
      </w:tr>
      <w:tr>
        <w:tc>
          <w:tcPr>
            <w:tcW w:type="dxa" w:w="4788"/>
            <w:vAlign w:val="center"/>
          </w:tcPr>
          <w:p>
            <w:r>
              <w:t>Cohérence du cycle de commande</w:t>
            </w:r>
          </w:p>
        </w:tc>
        <w:tc>
          <w:tcPr>
            <w:tcW w:type="dxa" w:w="4788"/>
            <w:vAlign w:val="center"/>
          </w:tcPr>
          <w:p>
            <w:r>
              <w:t>Machine à états et services de verrouillage/dispatch.</w:t>
            </w:r>
          </w:p>
        </w:tc>
      </w:tr>
      <w:tr>
        <w:tc>
          <w:tcPr>
            <w:tcW w:type="dxa" w:w="4788"/>
            <w:vAlign w:val="center"/>
          </w:tcPr>
          <w:p>
            <w:r>
              <w:t>Historique wallet</w:t>
            </w:r>
          </w:p>
        </w:tc>
        <w:tc>
          <w:tcPr>
            <w:tcW w:type="dxa" w:w="4788"/>
            <w:vAlign w:val="center"/>
          </w:tcPr>
          <w:p>
            <w:r>
              <w:t>Migration vers wallets UUID tout en conservant la compatibilité legacy.</w:t>
            </w:r>
          </w:p>
        </w:tc>
      </w:tr>
    </w:tbl>
    <w:p/>
    <w:p>
      <w:pPr>
        <w:pStyle w:val="Heading1"/>
      </w:pPr>
      <w:r>
        <w:t>7.3 Compétences acquises</w:t>
      </w:r>
    </w:p>
    <w:p>
      <w:pPr>
        <w:ind w:left="340" w:hanging="198"/>
      </w:pPr>
      <w:r>
        <w:rPr>
          <w:b/>
        </w:rPr>
        <w:t xml:space="preserve">• </w:t>
      </w:r>
      <w:r>
        <w:t>Conception d’API REST et architecture en couches.</w:t>
      </w:r>
    </w:p>
    <w:p>
      <w:pPr>
        <w:ind w:left="340" w:hanging="198"/>
      </w:pPr>
      <w:r>
        <w:rPr>
          <w:b/>
        </w:rPr>
        <w:t xml:space="preserve">• </w:t>
      </w:r>
      <w:r>
        <w:t>Modélisation relationnelle PostgreSQL avec SQLAlchemy.</w:t>
      </w:r>
    </w:p>
    <w:p>
      <w:pPr>
        <w:ind w:left="340" w:hanging="198"/>
      </w:pPr>
      <w:r>
        <w:rPr>
          <w:b/>
        </w:rPr>
        <w:t xml:space="preserve">• </w:t>
      </w:r>
      <w:r>
        <w:t>Développement Next.js/React et React Native/Expo.</w:t>
      </w:r>
    </w:p>
    <w:p>
      <w:pPr>
        <w:ind w:left="340" w:hanging="198"/>
      </w:pPr>
      <w:r>
        <w:rPr>
          <w:b/>
        </w:rPr>
        <w:t xml:space="preserve">• </w:t>
      </w:r>
      <w:r>
        <w:t>Authentification, OAuth, JWT, OTP et autorisation RBAC.</w:t>
      </w:r>
    </w:p>
    <w:p>
      <w:pPr>
        <w:ind w:left="340" w:hanging="198"/>
      </w:pPr>
      <w:r>
        <w:rPr>
          <w:b/>
        </w:rPr>
        <w:t xml:space="preserve">• </w:t>
      </w:r>
      <w:r>
        <w:t>Intégration de services IA, stockage, email et cartographie.</w:t>
      </w:r>
    </w:p>
    <w:p>
      <w:pPr>
        <w:ind w:left="340" w:hanging="198"/>
      </w:pPr>
      <w:r>
        <w:rPr>
          <w:b/>
        </w:rPr>
        <w:t xml:space="preserve">• </w:t>
      </w:r>
      <w:r>
        <w:t>Automatisation de processus métier et tests ciblés.</w:t>
      </w:r>
    </w:p>
    <w:p>
      <w:pPr>
        <w:pStyle w:val="Heading1"/>
      </w:pPr>
      <w:r>
        <w:t>Conclusion</w:t>
      </w:r>
    </w:p>
    <w:p>
      <w:pPr>
        <w:jc w:val="both"/>
      </w:pPr>
      <w:r>
        <w:t>SOUKI constitue un prototype avancé et cohérent. Son passage à un produit exploitable dépend maintenant de la validation métier, de tests de sécurité et de charge, de l’instrumentation des KPI et d’un pilote opérationnel.</w:t>
      </w:r>
    </w:p>
    <w:p>
      <w:r>
        <w:br w:type="page"/>
      </w:r>
    </w:p>
    <w:p>
      <w:pPr>
        <w:spacing w:before="1600"/>
        <w:jc w:val="center"/>
      </w:pPr>
      <w:r>
        <w:rPr>
          <w:rFonts w:ascii="Times New Roman" w:hAnsi="Times New Roman"/>
          <w:b/>
          <w:color w:val="1F4E79"/>
          <w:sz w:val="38"/>
        </w:rPr>
        <w:t>CONCLUSION ET PERSPECTIVES</w:t>
      </w:r>
    </w:p>
    <w:p>
      <w:r>
        <w:br w:type="page"/>
      </w:r>
    </w:p>
    <w:p>
      <w:pPr>
        <w:jc w:val="both"/>
      </w:pPr>
      <w:r>
        <w:t>Le projet SOUKI démontre la faisabilité technique d’une plateforme marocaine de commande et de distribution de produits frais. Son apport principal tient à l’intégration d’un parcours client, d’une agrégation JIT, d’un réseau fournisseur, d’un dispatch logistique et d’une supervision multi-rôles dans une architecture commune.</w:t>
      </w:r>
    </w:p>
    <w:p>
      <w:pPr>
        <w:jc w:val="both"/>
      </w:pPr>
      <w:r>
        <w:t>Les perspectives prioritaires sont l’activation d’un paiement carte réellement certifié, le renforcement de la sécurité des sessions, la consolidation des migrations, la génération des diagrammes depuis le schéma réel, la mise en place d’observabilité, les tests de charge et un pilote mesurant fraîcheur, pertes, ponctualité, marge et satisfaction. L’expansion géographique ne devra être envisagée qu’après validation de ces indicateurs.</w:t>
      </w:r>
    </w:p>
    <w:p>
      <w:r>
        <w:br w:type="page"/>
      </w:r>
    </w:p>
    <w:p>
      <w:pPr>
        <w:spacing w:before="1600"/>
        <w:jc w:val="center"/>
      </w:pPr>
      <w:r>
        <w:rPr>
          <w:rFonts w:ascii="Times New Roman" w:hAnsi="Times New Roman"/>
          <w:b/>
          <w:color w:val="1F4E79"/>
          <w:sz w:val="38"/>
        </w:rPr>
        <w:t>BIBLIOGRAPHIE</w:t>
      </w:r>
    </w:p>
    <w:p>
      <w:r>
        <w:br w:type="page"/>
      </w:r>
    </w:p>
    <w:p>
      <w:pPr>
        <w:ind w:left="340" w:hanging="198"/>
      </w:pPr>
      <w:r>
        <w:rPr>
          <w:b/>
        </w:rPr>
        <w:t xml:space="preserve">1. </w:t>
      </w:r>
      <w:r>
        <w:t>Documentation officielle FastAPI — https://fastapi.tiangolo.com/</w:t>
      </w:r>
    </w:p>
    <w:p>
      <w:pPr>
        <w:ind w:left="340" w:hanging="198"/>
      </w:pPr>
      <w:r>
        <w:rPr>
          <w:b/>
        </w:rPr>
        <w:t xml:space="preserve">2. </w:t>
      </w:r>
      <w:r>
        <w:t>Documentation SQLAlchemy — https://docs.sqlalchemy.org/</w:t>
      </w:r>
    </w:p>
    <w:p>
      <w:pPr>
        <w:ind w:left="340" w:hanging="198"/>
      </w:pPr>
      <w:r>
        <w:rPr>
          <w:b/>
        </w:rPr>
        <w:t xml:space="preserve">3. </w:t>
      </w:r>
      <w:r>
        <w:t>Documentation Next.js — https://nextjs.org/docs</w:t>
      </w:r>
    </w:p>
    <w:p>
      <w:pPr>
        <w:ind w:left="340" w:hanging="198"/>
      </w:pPr>
      <w:r>
        <w:rPr>
          <w:b/>
        </w:rPr>
        <w:t xml:space="preserve">4. </w:t>
      </w:r>
      <w:r>
        <w:t>Documentation React — https://react.dev/</w:t>
      </w:r>
    </w:p>
    <w:p>
      <w:pPr>
        <w:ind w:left="340" w:hanging="198"/>
      </w:pPr>
      <w:r>
        <w:rPr>
          <w:b/>
        </w:rPr>
        <w:t xml:space="preserve">5. </w:t>
      </w:r>
      <w:r>
        <w:t>Documentation Expo — https://docs.expo.dev/</w:t>
      </w:r>
    </w:p>
    <w:p>
      <w:pPr>
        <w:ind w:left="340" w:hanging="198"/>
      </w:pPr>
      <w:r>
        <w:rPr>
          <w:b/>
        </w:rPr>
        <w:t xml:space="preserve">6. </w:t>
      </w:r>
      <w:r>
        <w:t>Documentation PostgreSQL — https://www.postgresql.org/docs/</w:t>
      </w:r>
    </w:p>
    <w:p>
      <w:pPr>
        <w:ind w:left="340" w:hanging="198"/>
      </w:pPr>
      <w:r>
        <w:rPr>
          <w:b/>
        </w:rPr>
        <w:t xml:space="preserve">7. </w:t>
      </w:r>
      <w:r>
        <w:t>Documentation Google Identity — https://developers.google.com/identity</w:t>
      </w:r>
    </w:p>
    <w:p>
      <w:pPr>
        <w:ind w:left="340" w:hanging="198"/>
      </w:pPr>
      <w:r>
        <w:rPr>
          <w:b/>
        </w:rPr>
        <w:t xml:space="preserve">8. </w:t>
      </w:r>
      <w:r>
        <w:t>Documentation Hugging Face Inference — https://huggingface.co/docs</w:t>
      </w:r>
    </w:p>
    <w:p>
      <w:pPr>
        <w:ind w:left="340" w:hanging="198"/>
      </w:pPr>
      <w:r>
        <w:rPr>
          <w:b/>
        </w:rPr>
        <w:t xml:space="preserve">9. </w:t>
      </w:r>
      <w:r>
        <w:t>Documentation Supabase — https://supabase.com/docs</w:t>
      </w:r>
    </w:p>
    <w:p>
      <w:pPr>
        <w:ind w:left="340" w:hanging="198"/>
      </w:pPr>
      <w:r>
        <w:rPr>
          <w:b/>
        </w:rPr>
        <w:t xml:space="preserve">10. </w:t>
      </w:r>
      <w:r>
        <w:t>Documentation Mapbox — https://docs.mapbox.com/</w:t>
      </w:r>
    </w:p>
    <w:p>
      <w:pPr>
        <w:ind w:left="340" w:hanging="198"/>
      </w:pPr>
      <w:r>
        <w:rPr>
          <w:b/>
        </w:rPr>
        <w:t xml:space="preserve">11. </w:t>
      </w:r>
      <w:r>
        <w:t>Dépôt SOUKI : code source, migrations SQL et documentation interne, version analysée le 23 juin 2026.</w:t>
      </w:r>
    </w:p>
    <w:p>
      <w:r>
        <w:br w:type="page"/>
      </w:r>
    </w:p>
    <w:p>
      <w:pPr>
        <w:spacing w:before="1600"/>
        <w:jc w:val="center"/>
      </w:pPr>
      <w:r>
        <w:rPr>
          <w:rFonts w:ascii="Times New Roman" w:hAnsi="Times New Roman"/>
          <w:b/>
          <w:color w:val="1F4E79"/>
          <w:sz w:val="38"/>
        </w:rPr>
        <w:t>ANNEXES</w:t>
      </w:r>
    </w:p>
    <w:p>
      <w:r>
        <w:br w:type="page"/>
      </w:r>
    </w:p>
    <w:p>
      <w:pPr>
        <w:pStyle w:val="Heading1"/>
      </w:pPr>
      <w:r>
        <w:t>A. Architecture technique détaillée</w:t>
      </w:r>
    </w:p>
    <w:p>
      <w:pPr>
        <w:jc w:val="both"/>
      </w:pPr>
      <w:r>
        <w:t>Voir les dossiers back-end, front-end, mobile, prisma et Documentation.</w:t>
      </w:r>
    </w:p>
    <w:p>
      <w:pPr>
        <w:spacing w:before="160" w:after="100"/>
      </w:pPr>
      <w:r>
        <w:rPr>
          <w:rFonts w:ascii="Times New Roman" w:hAnsi="Times New Roman"/>
          <w:b/>
          <w:color w:val="1F4E79"/>
          <w:sz w:val="28"/>
        </w:rPr>
        <w:t>Conception UML complète</w:t>
      </w:r>
    </w:p>
    <w:p>
      <w:pPr>
        <w:spacing w:before="160" w:after="100"/>
      </w:pPr>
      <w:r>
        <w:rPr>
          <w:rFonts w:ascii="Times New Roman" w:hAnsi="Times New Roman"/>
          <w:b/>
          <w:color w:val="1F4E79"/>
          <w:sz w:val="24"/>
        </w:rPr>
        <w:t>Cas d’utilisation par acteur</w:t>
      </w:r>
    </w:p>
    <w:p>
      <w:pPr>
        <w:spacing w:before="120" w:after="60"/>
        <w:jc w:val="center"/>
      </w:pPr>
      <w:r>
        <w:drawing>
          <wp:inline xmlns:a="http://schemas.openxmlformats.org/drawingml/2006/main" xmlns:pic="http://schemas.openxmlformats.org/drawingml/2006/picture">
            <wp:extent cx="5688000" cy="3312957"/>
            <wp:docPr id="2126421180" name="Picture 2126421180"/>
            <wp:cNvGraphicFramePr>
              <a:graphicFrameLocks noChangeAspect="1"/>
            </wp:cNvGraphicFramePr>
            <a:graphic>
              <a:graphicData uri="http://schemas.openxmlformats.org/drawingml/2006/picture">
                <pic:pic>
                  <pic:nvPicPr>
                    <pic:cNvPr id="0" name="diagram_18.png"/>
                    <pic:cNvPicPr/>
                  </pic:nvPicPr>
                  <pic:blipFill>
                    <a:blip r:embed="rId29"/>
                    <a:stretch>
                      <a:fillRect/>
                    </a:stretch>
                  </pic:blipFill>
                  <pic:spPr>
                    <a:xfrm>
                      <a:off x="0" y="0"/>
                      <a:ext cx="5688000" cy="3312957"/>
                    </a:xfrm>
                    <a:prstGeom prst="rect"/>
                  </pic:spPr>
                </pic:pic>
              </a:graphicData>
            </a:graphic>
          </wp:inline>
        </w:drawing>
      </w:r>
    </w:p>
    <w:p>
      <w:pPr>
        <w:spacing w:after="160"/>
        <w:jc w:val="center"/>
      </w:pPr>
      <w:r>
        <w:rPr>
          <w:rFonts w:ascii="Times New Roman" w:hAnsi="Times New Roman"/>
          <w:i/>
          <w:color w:val="3C3C3C"/>
          <w:sz w:val="20"/>
        </w:rPr>
        <w:t>Figure 18 : Cas d’utilisation complet — Client</w:t>
      </w:r>
    </w:p>
    <w:p>
      <w:pPr>
        <w:spacing w:before="120" w:after="60"/>
        <w:jc w:val="center"/>
      </w:pPr>
      <w:r>
        <w:drawing>
          <wp:inline xmlns:a="http://schemas.openxmlformats.org/drawingml/2006/main" xmlns:pic="http://schemas.openxmlformats.org/drawingml/2006/picture">
            <wp:extent cx="5688000" cy="5415965"/>
            <wp:docPr id="2126421181" name="Picture 2126421181"/>
            <wp:cNvGraphicFramePr>
              <a:graphicFrameLocks noChangeAspect="1"/>
            </wp:cNvGraphicFramePr>
            <a:graphic>
              <a:graphicData uri="http://schemas.openxmlformats.org/drawingml/2006/picture">
                <pic:pic>
                  <pic:nvPicPr>
                    <pic:cNvPr id="0" name="diagram_19.png"/>
                    <pic:cNvPicPr/>
                  </pic:nvPicPr>
                  <pic:blipFill>
                    <a:blip r:embed="rId30"/>
                    <a:stretch>
                      <a:fillRect/>
                    </a:stretch>
                  </pic:blipFill>
                  <pic:spPr>
                    <a:xfrm>
                      <a:off x="0" y="0"/>
                      <a:ext cx="5688000" cy="5415965"/>
                    </a:xfrm>
                    <a:prstGeom prst="rect"/>
                  </pic:spPr>
                </pic:pic>
              </a:graphicData>
            </a:graphic>
          </wp:inline>
        </w:drawing>
      </w:r>
    </w:p>
    <w:p>
      <w:pPr>
        <w:spacing w:after="160"/>
        <w:jc w:val="center"/>
      </w:pPr>
      <w:r>
        <w:rPr>
          <w:rFonts w:ascii="Times New Roman" w:hAnsi="Times New Roman"/>
          <w:i/>
          <w:color w:val="3C3C3C"/>
          <w:sz w:val="20"/>
        </w:rPr>
        <w:t>Figure 19 : Cas d’utilisation complet — Parent</w:t>
      </w:r>
    </w:p>
    <w:p>
      <w:pPr>
        <w:spacing w:before="120" w:after="60"/>
        <w:jc w:val="center"/>
      </w:pPr>
      <w:r>
        <w:drawing>
          <wp:inline xmlns:a="http://schemas.openxmlformats.org/drawingml/2006/main" xmlns:pic="http://schemas.openxmlformats.org/drawingml/2006/picture">
            <wp:extent cx="5688000" cy="3892725"/>
            <wp:docPr id="2126421182" name="Picture 2126421182"/>
            <wp:cNvGraphicFramePr>
              <a:graphicFrameLocks noChangeAspect="1"/>
            </wp:cNvGraphicFramePr>
            <a:graphic>
              <a:graphicData uri="http://schemas.openxmlformats.org/drawingml/2006/picture">
                <pic:pic>
                  <pic:nvPicPr>
                    <pic:cNvPr id="0" name="diagram_20.png"/>
                    <pic:cNvPicPr/>
                  </pic:nvPicPr>
                  <pic:blipFill>
                    <a:blip r:embed="rId31"/>
                    <a:stretch>
                      <a:fillRect/>
                    </a:stretch>
                  </pic:blipFill>
                  <pic:spPr>
                    <a:xfrm>
                      <a:off x="0" y="0"/>
                      <a:ext cx="5688000" cy="3892725"/>
                    </a:xfrm>
                    <a:prstGeom prst="rect"/>
                  </pic:spPr>
                </pic:pic>
              </a:graphicData>
            </a:graphic>
          </wp:inline>
        </w:drawing>
      </w:r>
    </w:p>
    <w:p>
      <w:pPr>
        <w:spacing w:after="160"/>
        <w:jc w:val="center"/>
      </w:pPr>
      <w:r>
        <w:rPr>
          <w:rFonts w:ascii="Times New Roman" w:hAnsi="Times New Roman"/>
          <w:i/>
          <w:color w:val="3C3C3C"/>
          <w:sz w:val="20"/>
        </w:rPr>
        <w:t>Figure 20 : Cas d’utilisation complet — Fournisseur</w:t>
      </w:r>
    </w:p>
    <w:p>
      <w:pPr>
        <w:spacing w:before="120" w:after="60"/>
        <w:jc w:val="center"/>
      </w:pPr>
      <w:r>
        <w:drawing>
          <wp:inline xmlns:a="http://schemas.openxmlformats.org/drawingml/2006/main" xmlns:pic="http://schemas.openxmlformats.org/drawingml/2006/picture">
            <wp:extent cx="5688000" cy="3892725"/>
            <wp:docPr id="2126421183" name="Picture 2126421183"/>
            <wp:cNvGraphicFramePr>
              <a:graphicFrameLocks noChangeAspect="1"/>
            </wp:cNvGraphicFramePr>
            <a:graphic>
              <a:graphicData uri="http://schemas.openxmlformats.org/drawingml/2006/picture">
                <pic:pic>
                  <pic:nvPicPr>
                    <pic:cNvPr id="0" name="diagram_21.png"/>
                    <pic:cNvPicPr/>
                  </pic:nvPicPr>
                  <pic:blipFill>
                    <a:blip r:embed="rId32"/>
                    <a:stretch>
                      <a:fillRect/>
                    </a:stretch>
                  </pic:blipFill>
                  <pic:spPr>
                    <a:xfrm>
                      <a:off x="0" y="0"/>
                      <a:ext cx="5688000" cy="3892725"/>
                    </a:xfrm>
                    <a:prstGeom prst="rect"/>
                  </pic:spPr>
                </pic:pic>
              </a:graphicData>
            </a:graphic>
          </wp:inline>
        </w:drawing>
      </w:r>
    </w:p>
    <w:p>
      <w:pPr>
        <w:spacing w:after="160"/>
        <w:jc w:val="center"/>
      </w:pPr>
      <w:r>
        <w:rPr>
          <w:rFonts w:ascii="Times New Roman" w:hAnsi="Times New Roman"/>
          <w:i/>
          <w:color w:val="3C3C3C"/>
          <w:sz w:val="20"/>
        </w:rPr>
        <w:t>Figure 21 : Cas d’utilisation complet — Livreur</w:t>
      </w:r>
    </w:p>
    <w:p>
      <w:pPr>
        <w:spacing w:before="120" w:after="60"/>
        <w:jc w:val="center"/>
      </w:pPr>
      <w:r>
        <w:drawing>
          <wp:inline xmlns:a="http://schemas.openxmlformats.org/drawingml/2006/main" xmlns:pic="http://schemas.openxmlformats.org/drawingml/2006/picture">
            <wp:extent cx="5688000" cy="3371597"/>
            <wp:docPr id="2126421184" name="Picture 2126421184"/>
            <wp:cNvGraphicFramePr>
              <a:graphicFrameLocks noChangeAspect="1"/>
            </wp:cNvGraphicFramePr>
            <a:graphic>
              <a:graphicData uri="http://schemas.openxmlformats.org/drawingml/2006/picture">
                <pic:pic>
                  <pic:nvPicPr>
                    <pic:cNvPr id="0" name="diagram_22.png"/>
                    <pic:cNvPicPr/>
                  </pic:nvPicPr>
                  <pic:blipFill>
                    <a:blip r:embed="rId33"/>
                    <a:stretch>
                      <a:fillRect/>
                    </a:stretch>
                  </pic:blipFill>
                  <pic:spPr>
                    <a:xfrm>
                      <a:off x="0" y="0"/>
                      <a:ext cx="5688000" cy="3371597"/>
                    </a:xfrm>
                    <a:prstGeom prst="rect"/>
                  </pic:spPr>
                </pic:pic>
              </a:graphicData>
            </a:graphic>
          </wp:inline>
        </w:drawing>
      </w:r>
    </w:p>
    <w:p>
      <w:pPr>
        <w:spacing w:after="160"/>
        <w:jc w:val="center"/>
      </w:pPr>
      <w:r>
        <w:rPr>
          <w:rFonts w:ascii="Times New Roman" w:hAnsi="Times New Roman"/>
          <w:i/>
          <w:color w:val="3C3C3C"/>
          <w:sz w:val="20"/>
        </w:rPr>
        <w:t>Figure 22 : Cas d’utilisation complet — Administrateur</w:t>
      </w:r>
    </w:p>
    <w:p>
      <w:pPr>
        <w:spacing w:before="160" w:after="100"/>
      </w:pPr>
      <w:r>
        <w:rPr>
          <w:rFonts w:ascii="Times New Roman" w:hAnsi="Times New Roman"/>
          <w:b/>
          <w:color w:val="1F4E79"/>
          <w:sz w:val="24"/>
        </w:rPr>
        <w:t>Séquences complémentaires</w:t>
      </w:r>
    </w:p>
    <w:p>
      <w:pPr>
        <w:spacing w:before="120" w:after="60"/>
        <w:jc w:val="center"/>
      </w:pPr>
      <w:r>
        <w:drawing>
          <wp:inline xmlns:a="http://schemas.openxmlformats.org/drawingml/2006/main" xmlns:pic="http://schemas.openxmlformats.org/drawingml/2006/picture">
            <wp:extent cx="5688000" cy="4266000"/>
            <wp:docPr id="2126421185" name="Picture 2126421185"/>
            <wp:cNvGraphicFramePr>
              <a:graphicFrameLocks noChangeAspect="1"/>
            </wp:cNvGraphicFramePr>
            <a:graphic>
              <a:graphicData uri="http://schemas.openxmlformats.org/drawingml/2006/picture">
                <pic:pic>
                  <pic:nvPicPr>
                    <pic:cNvPr id="0" name="diagram_26.png"/>
                    <pic:cNvPicPr/>
                  </pic:nvPicPr>
                  <pic:blipFill>
                    <a:blip r:embed="rId34"/>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23 : Séquence complète — Checkout et commande COD</w:t>
      </w:r>
    </w:p>
    <w:p>
      <w:pPr>
        <w:spacing w:before="120" w:after="60"/>
        <w:jc w:val="center"/>
      </w:pPr>
      <w:r>
        <w:drawing>
          <wp:inline xmlns:a="http://schemas.openxmlformats.org/drawingml/2006/main" xmlns:pic="http://schemas.openxmlformats.org/drawingml/2006/picture">
            <wp:extent cx="5688000" cy="4266000"/>
            <wp:docPr id="2126421186" name="Picture 2126421186"/>
            <wp:cNvGraphicFramePr>
              <a:graphicFrameLocks noChangeAspect="1"/>
            </wp:cNvGraphicFramePr>
            <a:graphic>
              <a:graphicData uri="http://schemas.openxmlformats.org/drawingml/2006/picture">
                <pic:pic>
                  <pic:nvPicPr>
                    <pic:cNvPr id="0" name="diagram_29.png"/>
                    <pic:cNvPicPr/>
                  </pic:nvPicPr>
                  <pic:blipFill>
                    <a:blip r:embed="rId35"/>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24 : Séquence complète — Dispatch quotidien</w:t>
      </w:r>
    </w:p>
    <w:p>
      <w:pPr>
        <w:spacing w:before="120" w:after="60"/>
        <w:jc w:val="center"/>
      </w:pPr>
      <w:r>
        <w:drawing>
          <wp:inline xmlns:a="http://schemas.openxmlformats.org/drawingml/2006/main" xmlns:pic="http://schemas.openxmlformats.org/drawingml/2006/picture">
            <wp:extent cx="5688000" cy="4266000"/>
            <wp:docPr id="2126421187" name="Picture 2126421187"/>
            <wp:cNvGraphicFramePr>
              <a:graphicFrameLocks noChangeAspect="1"/>
            </wp:cNvGraphicFramePr>
            <a:graphic>
              <a:graphicData uri="http://schemas.openxmlformats.org/drawingml/2006/picture">
                <pic:pic>
                  <pic:nvPicPr>
                    <pic:cNvPr id="0" name="diagram_30.png"/>
                    <pic:cNvPicPr/>
                  </pic:nvPicPr>
                  <pic:blipFill>
                    <a:blip r:embed="rId36"/>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25 : Séquence complète — Livraison et encaissement COD</w:t>
      </w:r>
    </w:p>
    <w:p>
      <w:pPr>
        <w:spacing w:before="160" w:after="100"/>
      </w:pPr>
      <w:r>
        <w:rPr>
          <w:rFonts w:ascii="Times New Roman" w:hAnsi="Times New Roman"/>
          <w:b/>
          <w:color w:val="1F4E79"/>
          <w:sz w:val="24"/>
        </w:rPr>
        <w:t>Vues de classes</w:t>
      </w:r>
    </w:p>
    <w:p>
      <w:pPr>
        <w:spacing w:before="120" w:after="60"/>
        <w:jc w:val="center"/>
      </w:pPr>
      <w:r>
        <w:drawing>
          <wp:inline xmlns:a="http://schemas.openxmlformats.org/drawingml/2006/main" xmlns:pic="http://schemas.openxmlformats.org/drawingml/2006/picture">
            <wp:extent cx="5688000" cy="3356676"/>
            <wp:docPr id="2126421188" name="Picture 2126421188"/>
            <wp:cNvGraphicFramePr>
              <a:graphicFrameLocks noChangeAspect="1"/>
            </wp:cNvGraphicFramePr>
            <a:graphic>
              <a:graphicData uri="http://schemas.openxmlformats.org/drawingml/2006/picture">
                <pic:pic>
                  <pic:nvPicPr>
                    <pic:cNvPr id="0" name="diagram_32.png"/>
                    <pic:cNvPicPr/>
                  </pic:nvPicPr>
                  <pic:blipFill>
                    <a:blip r:embed="rId37"/>
                    <a:stretch>
                      <a:fillRect/>
                    </a:stretch>
                  </pic:blipFill>
                  <pic:spPr>
                    <a:xfrm>
                      <a:off x="0" y="0"/>
                      <a:ext cx="5688000" cy="3356676"/>
                    </a:xfrm>
                    <a:prstGeom prst="rect"/>
                  </pic:spPr>
                </pic:pic>
              </a:graphicData>
            </a:graphic>
          </wp:inline>
        </w:drawing>
      </w:r>
    </w:p>
    <w:p>
      <w:pPr>
        <w:spacing w:after="160"/>
        <w:jc w:val="center"/>
      </w:pPr>
      <w:r>
        <w:rPr>
          <w:rFonts w:ascii="Times New Roman" w:hAnsi="Times New Roman"/>
          <w:i/>
          <w:color w:val="3C3C3C"/>
          <w:sz w:val="20"/>
        </w:rPr>
        <w:t>Figure 26 : Diagramme de classes métier global</w:t>
      </w:r>
    </w:p>
    <w:p>
      <w:pPr>
        <w:spacing w:before="120" w:after="60"/>
        <w:jc w:val="center"/>
      </w:pPr>
      <w:r>
        <w:drawing>
          <wp:inline xmlns:a="http://schemas.openxmlformats.org/drawingml/2006/main" xmlns:pic="http://schemas.openxmlformats.org/drawingml/2006/picture">
            <wp:extent cx="5688000" cy="3126195"/>
            <wp:docPr id="2126421189" name="Picture 2126421189"/>
            <wp:cNvGraphicFramePr>
              <a:graphicFrameLocks noChangeAspect="1"/>
            </wp:cNvGraphicFramePr>
            <a:graphic>
              <a:graphicData uri="http://schemas.openxmlformats.org/drawingml/2006/picture">
                <pic:pic>
                  <pic:nvPicPr>
                    <pic:cNvPr id="0" name="diagram_33.png"/>
                    <pic:cNvPicPr/>
                  </pic:nvPicPr>
                  <pic:blipFill>
                    <a:blip r:embed="rId38"/>
                    <a:stretch>
                      <a:fillRect/>
                    </a:stretch>
                  </pic:blipFill>
                  <pic:spPr>
                    <a:xfrm>
                      <a:off x="0" y="0"/>
                      <a:ext cx="5688000" cy="3126195"/>
                    </a:xfrm>
                    <a:prstGeom prst="rect"/>
                  </pic:spPr>
                </pic:pic>
              </a:graphicData>
            </a:graphic>
          </wp:inline>
        </w:drawing>
      </w:r>
    </w:p>
    <w:p>
      <w:pPr>
        <w:spacing w:after="160"/>
        <w:jc w:val="center"/>
      </w:pPr>
      <w:r>
        <w:rPr>
          <w:rFonts w:ascii="Times New Roman" w:hAnsi="Times New Roman"/>
          <w:i/>
          <w:color w:val="3C3C3C"/>
          <w:sz w:val="20"/>
        </w:rPr>
        <w:t>Figure 27 : Classes — Identité, profils et RBAC</w:t>
      </w:r>
    </w:p>
    <w:p>
      <w:pPr>
        <w:spacing w:before="120" w:after="60"/>
        <w:jc w:val="center"/>
      </w:pPr>
      <w:r>
        <w:drawing>
          <wp:inline xmlns:a="http://schemas.openxmlformats.org/drawingml/2006/main" xmlns:pic="http://schemas.openxmlformats.org/drawingml/2006/picture">
            <wp:extent cx="5688000" cy="5132939"/>
            <wp:docPr id="2126421190" name="Picture 2126421190"/>
            <wp:cNvGraphicFramePr>
              <a:graphicFrameLocks noChangeAspect="1"/>
            </wp:cNvGraphicFramePr>
            <a:graphic>
              <a:graphicData uri="http://schemas.openxmlformats.org/drawingml/2006/picture">
                <pic:pic>
                  <pic:nvPicPr>
                    <pic:cNvPr id="0" name="diagram_34.png"/>
                    <pic:cNvPicPr/>
                  </pic:nvPicPr>
                  <pic:blipFill>
                    <a:blip r:embed="rId39"/>
                    <a:stretch>
                      <a:fillRect/>
                    </a:stretch>
                  </pic:blipFill>
                  <pic:spPr>
                    <a:xfrm>
                      <a:off x="0" y="0"/>
                      <a:ext cx="5688000" cy="5132939"/>
                    </a:xfrm>
                    <a:prstGeom prst="rect"/>
                  </pic:spPr>
                </pic:pic>
              </a:graphicData>
            </a:graphic>
          </wp:inline>
        </w:drawing>
      </w:r>
    </w:p>
    <w:p>
      <w:pPr>
        <w:spacing w:after="160"/>
        <w:jc w:val="center"/>
      </w:pPr>
      <w:r>
        <w:rPr>
          <w:rFonts w:ascii="Times New Roman" w:hAnsi="Times New Roman"/>
          <w:i/>
          <w:color w:val="3C3C3C"/>
          <w:sz w:val="20"/>
        </w:rPr>
        <w:t>Figure 28 : Classes — Catalogue, paniers et commandes</w:t>
      </w:r>
    </w:p>
    <w:p>
      <w:pPr>
        <w:spacing w:before="120" w:after="60"/>
        <w:jc w:val="center"/>
      </w:pPr>
      <w:r>
        <w:drawing>
          <wp:inline xmlns:a="http://schemas.openxmlformats.org/drawingml/2006/main" xmlns:pic="http://schemas.openxmlformats.org/drawingml/2006/picture">
            <wp:extent cx="5688000" cy="2659896"/>
            <wp:docPr id="2126421191" name="Picture 2126421191"/>
            <wp:cNvGraphicFramePr>
              <a:graphicFrameLocks noChangeAspect="1"/>
            </wp:cNvGraphicFramePr>
            <a:graphic>
              <a:graphicData uri="http://schemas.openxmlformats.org/drawingml/2006/picture">
                <pic:pic>
                  <pic:nvPicPr>
                    <pic:cNvPr id="0" name="diagram_35.png"/>
                    <pic:cNvPicPr/>
                  </pic:nvPicPr>
                  <pic:blipFill>
                    <a:blip r:embed="rId40"/>
                    <a:stretch>
                      <a:fillRect/>
                    </a:stretch>
                  </pic:blipFill>
                  <pic:spPr>
                    <a:xfrm>
                      <a:off x="0" y="0"/>
                      <a:ext cx="5688000" cy="2659896"/>
                    </a:xfrm>
                    <a:prstGeom prst="rect"/>
                  </pic:spPr>
                </pic:pic>
              </a:graphicData>
            </a:graphic>
          </wp:inline>
        </w:drawing>
      </w:r>
    </w:p>
    <w:p>
      <w:pPr>
        <w:spacing w:after="160"/>
        <w:jc w:val="center"/>
      </w:pPr>
      <w:r>
        <w:rPr>
          <w:rFonts w:ascii="Times New Roman" w:hAnsi="Times New Roman"/>
          <w:i/>
          <w:color w:val="3C3C3C"/>
          <w:sz w:val="20"/>
        </w:rPr>
        <w:t>Figure 29 : Classes — Fournisseurs et offres</w:t>
      </w:r>
    </w:p>
    <w:p>
      <w:pPr>
        <w:spacing w:before="120" w:after="60"/>
        <w:jc w:val="center"/>
      </w:pPr>
      <w:r>
        <w:drawing>
          <wp:inline xmlns:a="http://schemas.openxmlformats.org/drawingml/2006/main" xmlns:pic="http://schemas.openxmlformats.org/drawingml/2006/picture">
            <wp:extent cx="5688000" cy="3848084"/>
            <wp:docPr id="2126421192" name="Picture 2126421192"/>
            <wp:cNvGraphicFramePr>
              <a:graphicFrameLocks noChangeAspect="1"/>
            </wp:cNvGraphicFramePr>
            <a:graphic>
              <a:graphicData uri="http://schemas.openxmlformats.org/drawingml/2006/picture">
                <pic:pic>
                  <pic:nvPicPr>
                    <pic:cNvPr id="0" name="diagram_36.png"/>
                    <pic:cNvPicPr/>
                  </pic:nvPicPr>
                  <pic:blipFill>
                    <a:blip r:embed="rId41"/>
                    <a:stretch>
                      <a:fillRect/>
                    </a:stretch>
                  </pic:blipFill>
                  <pic:spPr>
                    <a:xfrm>
                      <a:off x="0" y="0"/>
                      <a:ext cx="5688000" cy="3848084"/>
                    </a:xfrm>
                    <a:prstGeom prst="rect"/>
                  </pic:spPr>
                </pic:pic>
              </a:graphicData>
            </a:graphic>
          </wp:inline>
        </w:drawing>
      </w:r>
    </w:p>
    <w:p>
      <w:pPr>
        <w:spacing w:after="160"/>
        <w:jc w:val="center"/>
      </w:pPr>
      <w:r>
        <w:rPr>
          <w:rFonts w:ascii="Times New Roman" w:hAnsi="Times New Roman"/>
          <w:i/>
          <w:color w:val="3C3C3C"/>
          <w:sz w:val="20"/>
        </w:rPr>
        <w:t>Figure 30 : Classes — JIT, dispatch et livraison</w:t>
      </w:r>
    </w:p>
    <w:p>
      <w:pPr>
        <w:spacing w:before="120" w:after="60"/>
        <w:jc w:val="center"/>
      </w:pPr>
      <w:r>
        <w:drawing>
          <wp:inline xmlns:a="http://schemas.openxmlformats.org/drawingml/2006/main" xmlns:pic="http://schemas.openxmlformats.org/drawingml/2006/picture">
            <wp:extent cx="5688000" cy="5170246"/>
            <wp:docPr id="2126421193" name="Picture 2126421193"/>
            <wp:cNvGraphicFramePr>
              <a:graphicFrameLocks noChangeAspect="1"/>
            </wp:cNvGraphicFramePr>
            <a:graphic>
              <a:graphicData uri="http://schemas.openxmlformats.org/drawingml/2006/picture">
                <pic:pic>
                  <pic:nvPicPr>
                    <pic:cNvPr id="0" name="diagram_37.png"/>
                    <pic:cNvPicPr/>
                  </pic:nvPicPr>
                  <pic:blipFill>
                    <a:blip r:embed="rId42"/>
                    <a:stretch>
                      <a:fillRect/>
                    </a:stretch>
                  </pic:blipFill>
                  <pic:spPr>
                    <a:xfrm>
                      <a:off x="0" y="0"/>
                      <a:ext cx="5688000" cy="5170246"/>
                    </a:xfrm>
                    <a:prstGeom prst="rect"/>
                  </pic:spPr>
                </pic:pic>
              </a:graphicData>
            </a:graphic>
          </wp:inline>
        </w:drawing>
      </w:r>
    </w:p>
    <w:p>
      <w:pPr>
        <w:spacing w:after="160"/>
        <w:jc w:val="center"/>
      </w:pPr>
      <w:r>
        <w:rPr>
          <w:rFonts w:ascii="Times New Roman" w:hAnsi="Times New Roman"/>
          <w:i/>
          <w:color w:val="3C3C3C"/>
          <w:sz w:val="20"/>
        </w:rPr>
        <w:t>Figure 31 : Classes — Paiement, Wallet, COD et SAV</w:t>
      </w:r>
    </w:p>
    <w:p>
      <w:pPr>
        <w:pStyle w:val="Heading1"/>
      </w:pPr>
      <w:r>
        <w:t>B. Captures d'écran de l'application</w:t>
      </w:r>
    </w:p>
    <w:p>
      <w:pPr>
        <w:spacing w:before="120" w:after="60"/>
        <w:jc w:val="center"/>
      </w:pPr>
      <w:r>
        <w:drawing>
          <wp:inline xmlns:a="http://schemas.openxmlformats.org/drawingml/2006/main" xmlns:pic="http://schemas.openxmlformats.org/drawingml/2006/picture">
            <wp:extent cx="5688000" cy="4345000"/>
            <wp:docPr id="2126421194" name="Picture 2126421194"/>
            <wp:cNvGraphicFramePr>
              <a:graphicFrameLocks noChangeAspect="1"/>
            </wp:cNvGraphicFramePr>
            <a:graphic>
              <a:graphicData uri="http://schemas.openxmlformats.org/drawingml/2006/picture">
                <pic:pic>
                  <pic:nvPicPr>
                    <pic:cNvPr id="0" name="accueil.png"/>
                    <pic:cNvPicPr/>
                  </pic:nvPicPr>
                  <pic:blipFill>
                    <a:blip r:embed="rId25"/>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Page d’accueil — capture réelle de localhost:3000</w:t>
      </w:r>
    </w:p>
    <w:p>
      <w:pPr>
        <w:spacing w:before="120" w:after="60"/>
        <w:jc w:val="center"/>
      </w:pPr>
      <w:r>
        <w:drawing>
          <wp:inline xmlns:a="http://schemas.openxmlformats.org/drawingml/2006/main" xmlns:pic="http://schemas.openxmlformats.org/drawingml/2006/picture">
            <wp:extent cx="5688000" cy="4345000"/>
            <wp:docPr id="2126421195" name="Picture 2126421195"/>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Catalogue — capture réelle de localhost:3000/catalogue</w:t>
      </w:r>
    </w:p>
    <w:p>
      <w:pPr>
        <w:spacing w:before="120" w:after="60"/>
        <w:jc w:val="center"/>
      </w:pPr>
      <w:r>
        <w:drawing>
          <wp:inline xmlns:a="http://schemas.openxmlformats.org/drawingml/2006/main" xmlns:pic="http://schemas.openxmlformats.org/drawingml/2006/picture">
            <wp:extent cx="5688000" cy="4345000"/>
            <wp:docPr id="2126421196" name="Picture 2126421196"/>
            <wp:cNvGraphicFramePr>
              <a:graphicFrameLocks noChangeAspect="1"/>
            </wp:cNvGraphicFramePr>
            <a:graphic>
              <a:graphicData uri="http://schemas.openxmlformats.org/drawingml/2006/picture">
                <pic:pic>
                  <pic:nvPicPr>
                    <pic:cNvPr id="0" name="connexion.png"/>
                    <pic:cNvPicPr/>
                  </pic:nvPicPr>
                  <pic:blipFill>
                    <a:blip r:embed="rId28"/>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Sélection du profil — capture réelle de localhost:3000/login</w:t>
      </w:r>
    </w:p>
    <w:p>
      <w:pPr>
        <w:spacing w:before="120" w:after="60"/>
        <w:jc w:val="center"/>
      </w:pPr>
      <w:r>
        <w:drawing>
          <wp:inline xmlns:a="http://schemas.openxmlformats.org/drawingml/2006/main" xmlns:pic="http://schemas.openxmlformats.org/drawingml/2006/picture">
            <wp:extent cx="5688000" cy="4345000"/>
            <wp:docPr id="2126421197" name="Picture 2126421197"/>
            <wp:cNvGraphicFramePr>
              <a:graphicFrameLocks noChangeAspect="1"/>
            </wp:cNvGraphicFramePr>
            <a:graphic>
              <a:graphicData uri="http://schemas.openxmlformats.org/drawingml/2006/picture">
                <pic:pic>
                  <pic:nvPicPr>
                    <pic:cNvPr id="0" name="admin-login.png"/>
                    <pic:cNvPicPr/>
                  </pic:nvPicPr>
                  <pic:blipFill>
                    <a:blip r:embed="rId27"/>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Connexion administrateur — capture réelle de localhost:3000/admin/login</w:t>
      </w:r>
    </w:p>
    <w:p>
      <w:pPr>
        <w:pStyle w:val="Heading1"/>
      </w:pPr>
      <w:r>
        <w:t>C. Documentation API REST</w:t>
      </w:r>
    </w:p>
    <w:p>
      <w:pPr>
        <w:jc w:val="both"/>
      </w:pPr>
      <w:r>
        <w:t>La documentation OpenAPI est exposée par FastAPI sur /docs lorsque le backend est démarré.</w:t>
      </w:r>
    </w:p>
    <w:p>
      <w:pPr>
        <w:pStyle w:val="Heading1"/>
      </w:pPr>
      <w:r>
        <w:t>D. Guide d'installation et déploiement</w:t>
      </w:r>
    </w:p>
    <w:p>
      <w:pPr>
        <w:jc w:val="both"/>
      </w:pPr>
      <w:r>
        <w:t>Installer les dépendances backend, frontend et mobile ; configurer les variables d’environnement ; démarrer PostgreSQL/Supabase, FastAPI et Next.js. Les fichiers README.md et QUICKSTART.md détaillent le lancement.</w:t>
      </w:r>
    </w:p>
    <w:p>
      <w:pPr>
        <w:pStyle w:val="Heading1"/>
      </w:pPr>
      <w:r>
        <w:t>E. Business Plan détaillé</w:t>
      </w:r>
    </w:p>
    <w:p>
      <w:pPr>
        <w:jc w:val="both"/>
      </w:pPr>
      <w:r>
        <w:t>Les simulations du document pricing_strategy doivent être recalculées avec les données du pilote.</w:t>
      </w:r>
    </w:p>
    <w:sectPr w:rsidR="00424C18" w:rsidRPr="009C1D24" w:rsidSect="0086002C">
      <w:headerReference w:type="default" r:id="rId7"/>
      <w:footerReference w:type="default" r:id="rId8"/>
      <w:pgSz w:w="12240" w:h="15840"/>
      <w:pgMar w:top="1247" w:right="124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8AD6" w14:textId="77777777" w:rsidR="001F6F78" w:rsidRDefault="001F6F78" w:rsidP="0086002C">
      <w:pPr>
        <w:spacing w:after="0" w:line="240" w:lineRule="auto"/>
      </w:pPr>
      <w:r>
        <w:separator/>
      </w:r>
    </w:p>
  </w:endnote>
  <w:endnote w:type="continuationSeparator" w:id="0">
    <w:p w14:paraId="3D7D16AC" w14:textId="77777777" w:rsidR="001F6F78" w:rsidRDefault="001F6F78" w:rsidP="0086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7933"/>
      <w:docPartObj>
        <w:docPartGallery w:val="Page Numbers (Bottom of Page)"/>
        <w:docPartUnique/>
      </w:docPartObj>
    </w:sdtPr>
    <w:sdtContent>
      <w:p w14:paraId="19986E3A" w14:textId="5344774A" w:rsidR="00056A8D" w:rsidRDefault="00056A8D">
        <w:pPr>
          <w:pStyle w:val="Footer"/>
          <w:jc w:val="right"/>
        </w:pPr>
        <w:r>
          <w:fldChar w:fldCharType="begin"/>
        </w:r>
        <w:r>
          <w:instrText>PAGE   \* MERGEFORMAT</w:instrText>
        </w:r>
        <w:r>
          <w:fldChar w:fldCharType="separate"/>
        </w:r>
        <w:r>
          <w:t>2</w:t>
        </w:r>
        <w:r>
          <w:fldChar w:fldCharType="end"/>
        </w:r>
      </w:p>
    </w:sdtContent>
  </w:sdt>
  <w:p w14:paraId="4920322A" w14:textId="77777777" w:rsidR="00056A8D" w:rsidRDefault="00056A8D" w:rsidP="00056A8D">
    <w:pPr>
      <w:pStyle w:val="Footer"/>
      <w:jc w:val="center"/>
    </w:pPr>
    <w:r>
      <w:t>Ecole Supérieure d’Ingénierie en Sciences Appliquées (ESISA)</w:t>
    </w:r>
  </w:p>
  <w:p w14:paraId="73314D25" w14:textId="77777777" w:rsidR="00056A8D" w:rsidRDefault="00056A8D" w:rsidP="00056A8D">
    <w:pPr>
      <w:pStyle w:val="Footer"/>
      <w:jc w:val="center"/>
    </w:pPr>
    <w:r>
      <w:t xml:space="preserve">Année Universitaire 2025-2026                                                                  </w:t>
    </w:r>
  </w:p>
  <w:p w14:paraId="0486794A" w14:textId="74D7E5D1" w:rsidR="00B953F5" w:rsidRDefault="00B953F5" w:rsidP="00B953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7C08" w14:textId="77777777" w:rsidR="001F6F78" w:rsidRDefault="001F6F78" w:rsidP="0086002C">
      <w:pPr>
        <w:spacing w:after="0" w:line="240" w:lineRule="auto"/>
      </w:pPr>
      <w:r>
        <w:separator/>
      </w:r>
    </w:p>
  </w:footnote>
  <w:footnote w:type="continuationSeparator" w:id="0">
    <w:p w14:paraId="523FC056" w14:textId="77777777" w:rsidR="001F6F78" w:rsidRDefault="001F6F78" w:rsidP="0086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3CF7" w14:textId="3C438DA0" w:rsidR="00610A60" w:rsidRDefault="00610A60">
    <w:pPr>
      <w:pStyle w:val="Header"/>
    </w:pPr>
    <w:r>
      <w:rPr>
        <w:noProof/>
      </w:rPr>
      <w:drawing>
        <wp:anchor distT="0" distB="0" distL="114300" distR="114300" simplePos="0" relativeHeight="251658240" behindDoc="0" locked="0" layoutInCell="1" allowOverlap="1" wp14:anchorId="069CFD02" wp14:editId="3CD95D52">
          <wp:simplePos x="0" y="0"/>
          <wp:positionH relativeFrom="column">
            <wp:posOffset>-488644</wp:posOffset>
          </wp:positionH>
          <wp:positionV relativeFrom="paragraph">
            <wp:posOffset>-314960</wp:posOffset>
          </wp:positionV>
          <wp:extent cx="1103587" cy="1103587"/>
          <wp:effectExtent l="0" t="0" r="0" b="0"/>
          <wp:wrapNone/>
          <wp:docPr id="58672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701" name="Picture 586729701"/>
                  <pic:cNvPicPr/>
                </pic:nvPicPr>
                <pic:blipFill>
                  <a:blip r:embed="rId1">
                    <a:extLst>
                      <a:ext uri="{28A0092B-C50C-407E-A947-70E740481C1C}">
                        <a14:useLocalDpi xmlns:a14="http://schemas.microsoft.com/office/drawing/2010/main" val="0"/>
                      </a:ext>
                    </a:extLst>
                  </a:blip>
                  <a:stretch>
                    <a:fillRect/>
                  </a:stretch>
                </pic:blipFill>
                <pic:spPr>
                  <a:xfrm>
                    <a:off x="0" y="0"/>
                    <a:ext cx="1103587" cy="1103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144"/>
    <w:multiLevelType w:val="multilevel"/>
    <w:tmpl w:val="24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2C"/>
    <w:rsid w:val="00055F0D"/>
    <w:rsid w:val="00056A8D"/>
    <w:rsid w:val="001F6F78"/>
    <w:rsid w:val="00296B26"/>
    <w:rsid w:val="00354E34"/>
    <w:rsid w:val="003666A1"/>
    <w:rsid w:val="003C7528"/>
    <w:rsid w:val="004053F4"/>
    <w:rsid w:val="00424C18"/>
    <w:rsid w:val="004928BF"/>
    <w:rsid w:val="004D3886"/>
    <w:rsid w:val="00536807"/>
    <w:rsid w:val="0056117B"/>
    <w:rsid w:val="005B171E"/>
    <w:rsid w:val="00610A60"/>
    <w:rsid w:val="00623329"/>
    <w:rsid w:val="006B630B"/>
    <w:rsid w:val="007823CA"/>
    <w:rsid w:val="008247F1"/>
    <w:rsid w:val="0086002C"/>
    <w:rsid w:val="009C1D24"/>
    <w:rsid w:val="009E069D"/>
    <w:rsid w:val="00A67E19"/>
    <w:rsid w:val="00AE7638"/>
    <w:rsid w:val="00B222F6"/>
    <w:rsid w:val="00B953F5"/>
    <w:rsid w:val="00BD5423"/>
    <w:rsid w:val="00BD6FF6"/>
    <w:rsid w:val="00DC0595"/>
    <w:rsid w:val="00FA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424AB"/>
  <w15:chartTrackingRefBased/>
  <w15:docId w15:val="{4195C3EE-7E0C-4E75-ADD2-32A7C64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after="120"/>
      <w:jc w:val="both"/>
    </w:pPr>
    <w:rPr>
      <w:rFonts w:ascii="Times New Roman" w:hAnsi="Times New Roman"/>
      <w:sz w:val="22"/>
    </w:rPr>
  </w:style>
  <w:style w:type="paragraph" w:styleId="Heading1">
    <w:name w:val="heading 1"/>
    <w:basedOn w:val="Normal"/>
    <w:next w:val="Normal"/>
    <w:link w:val="Heading1Char"/>
    <w:uiPriority w:val="9"/>
    <w:qFormat/>
    <w:rsid w:val="0086002C"/>
    <w:pPr>
      <w:keepNext/>
      <w:keepLines/>
      <w:spacing w:before="200" w:after="10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Normal"/>
    <w:link w:val="Heading2Char"/>
    <w:uiPriority w:val="9"/>
    <w:semiHidden/>
    <w:unhideWhenUsed/>
    <w:qFormat/>
    <w:rsid w:val="0086002C"/>
    <w:pPr>
      <w:keepNext/>
      <w:keepLines/>
      <w:spacing w:before="200" w:after="100"/>
      <w:outlineLvl w:val="1"/>
    </w:pPr>
    <w:rPr>
      <w:rFonts w:asciiTheme="majorHAnsi" w:eastAsiaTheme="majorEastAsia" w:hAnsiTheme="majorHAnsi" w:cstheme="majorBidi" w:ascii="Times New Roman" w:hAnsi="Times New Roman"/>
      <w:b/>
      <w:color w:val="1F4E79"/>
      <w:sz w:val="26"/>
      <w:szCs w:val="32"/>
    </w:rPr>
  </w:style>
  <w:style w:type="paragraph" w:styleId="Heading3">
    <w:name w:val="heading 3"/>
    <w:basedOn w:val="Normal"/>
    <w:next w:val="Normal"/>
    <w:link w:val="Heading3Char"/>
    <w:uiPriority w:val="9"/>
    <w:semiHidden/>
    <w:unhideWhenUsed/>
    <w:qFormat/>
    <w:rsid w:val="0086002C"/>
    <w:pPr>
      <w:keepNext/>
      <w:keepLines/>
      <w:spacing w:before="200" w:after="100"/>
      <w:outlineLvl w:val="2"/>
    </w:pPr>
    <w:rPr>
      <w:rFonts w:eastAsiaTheme="majorEastAsia" w:cstheme="majorBidi" w:ascii="Times New Roman" w:hAnsi="Times New Roman"/>
      <w:b/>
      <w:color w:val="373737"/>
      <w:sz w:val="22"/>
      <w:szCs w:val="28"/>
    </w:rPr>
  </w:style>
  <w:style w:type="paragraph" w:styleId="Heading4">
    <w:name w:val="heading 4"/>
    <w:basedOn w:val="Normal"/>
    <w:next w:val="Normal"/>
    <w:link w:val="Heading4Char"/>
    <w:uiPriority w:val="9"/>
    <w:semiHidden/>
    <w:unhideWhenUsed/>
    <w:qFormat/>
    <w:rsid w:val="0086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2C"/>
    <w:rPr>
      <w:rFonts w:eastAsiaTheme="majorEastAsia" w:cstheme="majorBidi"/>
      <w:color w:val="272727" w:themeColor="text1" w:themeTint="D8"/>
    </w:rPr>
  </w:style>
  <w:style w:type="paragraph" w:styleId="Title">
    <w:name w:val="Title"/>
    <w:basedOn w:val="Normal"/>
    <w:next w:val="Normal"/>
    <w:link w:val="TitleChar"/>
    <w:uiPriority w:val="10"/>
    <w:qFormat/>
    <w:rsid w:val="0086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02C"/>
    <w:rPr>
      <w:i/>
      <w:iCs/>
      <w:color w:val="404040" w:themeColor="text1" w:themeTint="BF"/>
    </w:rPr>
  </w:style>
  <w:style w:type="paragraph" w:styleId="ListParagraph">
    <w:name w:val="List Paragraph"/>
    <w:basedOn w:val="Normal"/>
    <w:uiPriority w:val="34"/>
    <w:qFormat/>
    <w:rsid w:val="0086002C"/>
    <w:pPr>
      <w:ind w:left="720"/>
      <w:contextualSpacing/>
    </w:pPr>
  </w:style>
  <w:style w:type="character" w:styleId="IntenseEmphasis">
    <w:name w:val="Intense Emphasis"/>
    <w:basedOn w:val="DefaultParagraphFont"/>
    <w:uiPriority w:val="21"/>
    <w:qFormat/>
    <w:rsid w:val="0086002C"/>
    <w:rPr>
      <w:i/>
      <w:iCs/>
      <w:color w:val="0F4761" w:themeColor="accent1" w:themeShade="BF"/>
    </w:rPr>
  </w:style>
  <w:style w:type="paragraph" w:styleId="IntenseQuote">
    <w:name w:val="Intense Quote"/>
    <w:basedOn w:val="Normal"/>
    <w:next w:val="Normal"/>
    <w:link w:val="IntenseQuoteChar"/>
    <w:uiPriority w:val="30"/>
    <w:qFormat/>
    <w:rsid w:val="0086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2C"/>
    <w:rPr>
      <w:i/>
      <w:iCs/>
      <w:color w:val="0F4761" w:themeColor="accent1" w:themeShade="BF"/>
    </w:rPr>
  </w:style>
  <w:style w:type="character" w:styleId="IntenseReference">
    <w:name w:val="Intense Reference"/>
    <w:basedOn w:val="DefaultParagraphFont"/>
    <w:uiPriority w:val="32"/>
    <w:qFormat/>
    <w:rsid w:val="0086002C"/>
    <w:rPr>
      <w:b/>
      <w:bCs/>
      <w:smallCaps/>
      <w:color w:val="0F4761" w:themeColor="accent1" w:themeShade="BF"/>
      <w:spacing w:val="5"/>
    </w:rPr>
  </w:style>
  <w:style w:type="paragraph" w:styleId="Header">
    <w:name w:val="header"/>
    <w:basedOn w:val="Normal"/>
    <w:link w:val="HeaderChar"/>
    <w:uiPriority w:val="99"/>
    <w:unhideWhenUsed/>
    <w:rsid w:val="0086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02C"/>
  </w:style>
  <w:style w:type="paragraph" w:styleId="Footer">
    <w:name w:val="footer"/>
    <w:basedOn w:val="Normal"/>
    <w:link w:val="FooterChar"/>
    <w:uiPriority w:val="99"/>
    <w:unhideWhenUsed/>
    <w:rsid w:val="0086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02C"/>
  </w:style>
  <w:style w:type="paragraph" w:customStyle="1" w:styleId="Titres">
    <w:name w:val="Titres"/>
    <w:basedOn w:val="Normal"/>
    <w:link w:val="TitresChar"/>
    <w:qFormat/>
    <w:rsid w:val="006B630B"/>
    <w:pPr>
      <w:jc w:val="center"/>
    </w:pPr>
    <w:rPr>
      <w:b/>
      <w:color w:val="0E2842"/>
      <w14:textFill>
        <w14:solidFill>
          <w14:srgbClr w14:val="0E2842">
            <w14:lumMod w14:val="75000"/>
            <w14:lumOff w14:val="25000"/>
          </w14:srgbClr>
        </w14:solidFill>
      </w14:textFill>
    </w:rPr>
  </w:style>
  <w:style w:type="character" w:customStyle="1" w:styleId="TitresChar">
    <w:name w:val="Titres Char"/>
    <w:basedOn w:val="DefaultParagraphFont"/>
    <w:link w:val="Titres"/>
    <w:rsid w:val="006B630B"/>
    <w:rPr>
      <w:b/>
      <w:color w:val="0E2842"/>
      <w14:textFill>
        <w14:solidFill>
          <w14:srgbClr w14:val="0E2842">
            <w14:lumMod w14:val="75000"/>
            <w14:lumOff w14:val="25000"/>
          </w14:srgbClr>
        </w14:solidFill>
      </w14:textFill>
    </w:rPr>
  </w:style>
  <w:style w:type="paragraph" w:customStyle="1" w:styleId="chapitre">
    <w:name w:val="chapitre"/>
    <w:basedOn w:val="Titres"/>
    <w:link w:val="chapitreChar"/>
    <w:qFormat/>
    <w:rsid w:val="008247F1"/>
    <w:rPr>
      <w:rFonts w:ascii="Bookman Old Style" w:hAnsi="Bookman Old Style" w:cs="Segoe UI"/>
      <w:bCs/>
      <w:color w:val="215E99" w:themeColor="text2" w:themeTint="BF"/>
      <w:sz w:val="72"/>
      <w:szCs w:val="72"/>
      <w14:shadow w14:blurRad="50800" w14:dist="38100" w14:dir="5400000" w14:sx="100000" w14:sy="100000" w14:kx="0" w14:ky="0" w14:algn="t">
        <w14:srgbClr w14:val="000000">
          <w14:alpha w14:val="60000"/>
        </w14:srgbClr>
      </w14:shadow>
    </w:rPr>
  </w:style>
  <w:style w:type="character" w:customStyle="1" w:styleId="chapitreChar">
    <w:name w:val="chapitre Char"/>
    <w:basedOn w:val="TitresChar"/>
    <w:link w:val="chapitre"/>
    <w:rsid w:val="008247F1"/>
    <w:rPr>
      <w:rFonts w:ascii="Bookman Old Style" w:hAnsi="Bookman Old Style" w:cs="Segoe UI"/>
      <w:b/>
      <w:bCs/>
      <w:color w:val="215E99" w:themeColor="text2" w:themeTint="BF"/>
      <w:sz w:val="72"/>
      <w:szCs w:val="72"/>
      <w14:shadow w14:blurRad="50800" w14:dist="38100" w14:dir="5400000" w14:sx="100000" w14:sy="100000" w14:kx="0" w14:ky="0" w14:algn="t">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21</Pages>
  <Words>3686</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t.bourkkadiidrissi@esisa.ac.ma</dc:creator>
  <cp:keywords/>
  <dc:description/>
  <cp:lastModifiedBy>t.bourkkadiidrissi@esisa.ac.ma</cp:lastModifiedBy>
  <cp:revision>6</cp:revision>
  <dcterms:created xsi:type="dcterms:W3CDTF">2026-06-21T16:54:00Z</dcterms:created>
  <dcterms:modified xsi:type="dcterms:W3CDTF">2026-06-22T18:03:00Z</dcterms:modified>
</cp:coreProperties>
</file>