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 Analysis Report</w:t>
      </w:r>
    </w:p>
    <w:p>
      <w:r>
        <w:t>**Classification:** Category: News</w:t>
      </w:r>
    </w:p>
    <w:p>
      <w:r>
        <w:t xml:space="preserve">**Entities:** OpenAI, </w:t>
        <w:br/>
        <w:br/>
        <w:t xml:space="preserve">Since there is only one entity mentioned in the text, the result is a list with a single item. If there were more entities, they would be separated by commas. </w:t>
        <w:br/>
        <w:br/>
        <w:t>Note: GPT-4 is not considered an entity in this context as it refers to a model or a product, not a person, organization, or location.</w:t>
      </w:r>
    </w:p>
    <w:p>
      <w:r>
        <w:t>**Summary:** OpenAI has announced the GPT-4 model, a large multimodal model that achieves human-level performance on various professional benchmarks.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