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sz w:val="32"/>
        </w:rPr>
        <w:t>Phase 2: Lakehouse Implementation Report</w:t>
      </w:r>
    </w:p>
    <w:p>
      <w:pPr>
        <w:spacing w:before="0" w:after="60" w:line="276" w:lineRule="auto"/>
      </w:pPr>
      <w:r>
        <w:rPr>
          <w:rFonts w:ascii="Arial" w:hAnsi="Arial"/>
          <w:b/>
          <w:sz w:val="24"/>
        </w:rPr>
        <w:t xml:space="preserve">GitHub: </w:t>
      </w:r>
      <w:r>
        <w:rPr>
          <w:rFonts w:ascii="Arial" w:hAnsi="Arial"/>
          <w:sz w:val="24"/>
        </w:rPr>
        <w:t>https://github.com/TahaImran1/DAV_Shipment_And_Cargo_Tracking</w:t>
      </w:r>
    </w:p>
    <w:p>
      <w:pPr>
        <w:spacing w:before="0" w:after="60" w:line="276" w:lineRule="auto"/>
      </w:pPr>
      <w:r>
        <w:rPr>
          <w:rFonts w:ascii="Arial" w:hAnsi="Arial"/>
          <w:b/>
          <w:sz w:val="24"/>
        </w:rPr>
        <w:t xml:space="preserve">Environment: </w:t>
      </w:r>
      <w:r>
        <w:rPr>
          <w:rFonts w:ascii="Arial" w:hAnsi="Arial"/>
          <w:sz w:val="24"/>
        </w:rPr>
        <w:t>Databricks Serverless (Apache Spark 4.x), Unity Catalog</w:t>
      </w:r>
    </w:p>
    <w:p>
      <w:pPr>
        <w:keepNext/>
        <w:spacing w:before="200" w:after="40"/>
      </w:pPr>
      <w:r>
        <w:rPr>
          <w:rFonts w:ascii="Arial" w:hAnsi="Arial"/>
          <w:b/>
          <w:sz w:val="32"/>
        </w:rPr>
        <w:t>1. Environment &amp; Architecture</w:t>
      </w:r>
    </w:p>
    <w:p>
      <w:pPr>
        <w:spacing w:before="0" w:after="60" w:line="276" w:lineRule="auto"/>
      </w:pPr>
      <w:r>
        <w:rPr>
          <w:rFonts w:ascii="Arial" w:hAnsi="Arial"/>
          <w:sz w:val="24"/>
        </w:rPr>
        <w:t>The pipeline runs on Databricks with Unity Catalog across four schemas under catalog workspace: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workspace.bronze: </w:t>
      </w:r>
      <w:r>
        <w:rPr>
          <w:rFonts w:ascii="Arial" w:hAnsi="Arial"/>
          <w:sz w:val="24"/>
        </w:rPr>
        <w:t>Raw append-only tables and quarantine.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workspace.silver: </w:t>
      </w:r>
      <w:r>
        <w:rPr>
          <w:rFonts w:ascii="Arial" w:hAnsi="Arial"/>
          <w:sz w:val="24"/>
        </w:rPr>
        <w:t>Cleaned, deduplicated star schema (Facts &amp; Dimensions).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workspace.gold: </w:t>
      </w:r>
      <w:r>
        <w:rPr>
          <w:rFonts w:ascii="Arial" w:hAnsi="Arial"/>
          <w:sz w:val="24"/>
        </w:rPr>
        <w:t>Business KPI aggregation summary tables.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workspace.maritime_ops: </w:t>
      </w:r>
      <w:r>
        <w:rPr>
          <w:rFonts w:ascii="Arial" w:hAnsi="Arial"/>
          <w:sz w:val="24"/>
        </w:rPr>
        <w:t>Centralized operational audit execution logs.</w:t>
      </w:r>
    </w:p>
    <w:p>
      <w:pPr>
        <w:spacing w:before="0" w:after="60" w:line="276" w:lineRule="auto"/>
      </w:pPr>
      <w:r>
        <w:rPr>
          <w:rFonts w:ascii="Arial" w:hAnsi="Arial"/>
          <w:sz w:val="24"/>
        </w:rPr>
        <w:t>Raw data files are stored in Unity Catalog Volume at /Volumes/workspace/bronze/raw_data/.</w:t>
      </w:r>
    </w:p>
    <w:p>
      <w:pPr>
        <w:keepNext/>
        <w:spacing w:before="200" w:after="40"/>
      </w:pPr>
      <w:r>
        <w:rPr>
          <w:rFonts w:ascii="Arial" w:hAnsi="Arial"/>
          <w:b/>
          <w:sz w:val="32"/>
        </w:rPr>
        <w:t>2. Lakehouse Data Models</w:t>
      </w:r>
    </w:p>
    <w:p>
      <w:pPr>
        <w:keepNext/>
        <w:spacing w:before="160" w:after="40"/>
      </w:pPr>
      <w:r>
        <w:rPr>
          <w:rFonts w:ascii="Arial" w:hAnsi="Arial"/>
          <w:b/>
          <w:sz w:val="28"/>
        </w:rPr>
        <w:t>Bronze Layer (Raw Ingestion)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Table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Source Format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Primary Key / Grain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Rows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workspace.bronze.raw_noaa_ais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CSV (219 MB)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(MMSI, BaseDateTime)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2,003,012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workspace.bronze.raw_aisstream_incremental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JSON Lines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(mmsi, time_utc)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1,870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workspace.bronze.raw_wpi_ports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CSV (1.3 MB)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portNumber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2,951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workspace.bronze.quarantine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Delta Table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quarantine_id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Audit Table</w:t>
            </w:r>
          </w:p>
        </w:tc>
      </w:tr>
    </w:tbl>
    <w:p>
      <w:pPr>
        <w:keepNext/>
        <w:spacing w:before="160" w:after="40"/>
      </w:pPr>
      <w:r>
        <w:rPr>
          <w:rFonts w:ascii="Arial" w:hAnsi="Arial"/>
          <w:b/>
          <w:sz w:val="28"/>
        </w:rPr>
        <w:t>Silver Layer (Star Schema)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Table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Type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Primary Key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Rows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workspace.silver.dim_vessel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Dimension (SCD-1)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mmsi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2,320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workspace.silver.dim_port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Dimension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port_code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2,938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workspace.silver.fact_vessel_position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Fact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(mmsi, timestamp)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1,979,953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workspace.silver.dim_voyage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Dimension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voyage_id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10,305</w:t>
            </w:r>
          </w:p>
        </w:tc>
      </w:tr>
    </w:tbl>
    <w:p>
      <w:pPr>
        <w:keepNext/>
        <w:spacing w:before="160" w:after="40"/>
      </w:pPr>
      <w:r>
        <w:rPr>
          <w:rFonts w:ascii="Arial" w:hAnsi="Arial"/>
          <w:b/>
          <w:sz w:val="28"/>
        </w:rPr>
        <w:t>Gold Layer (Business Aggregations)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Table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Grain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Key Metrics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Rows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workspace.gold.port_congestion_daily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Port x Date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vessels_in_port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124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workspace.gold.daily_vessel_activity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MMSI x Date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distance_km, speed_knots, hours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13,133</w:t>
            </w:r>
          </w:p>
        </w:tc>
      </w:tr>
      <w:tr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workspace.gold.vessel_emissions_proxy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MMSI x Date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fuel_burn_tonnes, co2_tonnes</w:t>
            </w:r>
          </w:p>
        </w:tc>
        <w:tc>
          <w:tcPr>
            <w:tcW w:type="dxa" w:w="2700"/>
          </w:tcPr>
          <w:p>
            <w:pPr>
              <w:spacing w:before="20" w:after="20"/>
            </w:pPr>
            <w:r>
              <w:rPr>
                <w:rFonts w:ascii="Arial" w:hAnsi="Arial"/>
                <w:sz w:val="22"/>
              </w:rPr>
              <w:t>13,133</w:t>
            </w:r>
          </w:p>
        </w:tc>
      </w:tr>
    </w:tbl>
    <w:p>
      <w:pPr>
        <w:keepNext/>
        <w:spacing w:before="200" w:after="40"/>
      </w:pPr>
      <w:r>
        <w:rPr>
          <w:rFonts w:ascii="Arial" w:hAnsi="Arial"/>
          <w:b/>
          <w:sz w:val="32"/>
        </w:rPr>
        <w:t>3. Pipeline Robustness &amp; Schema Enforcement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Zero Schema Inference: </w:t>
      </w:r>
      <w:r>
        <w:rPr>
          <w:rFonts w:ascii="Arial" w:hAnsi="Arial"/>
          <w:sz w:val="24"/>
        </w:rPr>
        <w:t>All Bronze ingestion defines explicit StructType / StructField contracts before reading raw data. Spark's inferSchema is strictly forbidden.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Universal Metadata: </w:t>
      </w:r>
      <w:r>
        <w:rPr>
          <w:rFonts w:ascii="Arial" w:hAnsi="Arial"/>
          <w:sz w:val="24"/>
        </w:rPr>
        <w:t>Every table in Bronze and Silver includes a load_timestamp column recording the exact UTC time of processing.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Idempotency via MERGE: </w:t>
      </w:r>
      <w:r>
        <w:rPr>
          <w:rFonts w:ascii="Arial" w:hAnsi="Arial"/>
          <w:sz w:val="24"/>
        </w:rPr>
        <w:t>All Silver tables (dim_vessel, dim_port, fact_vessel_position, dim_voyage) use Delta MERGE INTO. Re-running the pipeline produces zero duplicate records.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Schema Drift &amp; Quarantine: </w:t>
      </w:r>
      <w:r>
        <w:rPr>
          <w:rFonts w:ascii="Arial" w:hAnsi="Arial"/>
          <w:sz w:val="24"/>
        </w:rPr>
        <w:t>Records lacking mandatory keys (MMSI, BaseDateTime) or with corrupted JSON route to workspace.bronze.quarantine with a UUID and error reason without failing the pipeline.</w:t>
      </w:r>
    </w:p>
    <w:p>
      <w:pPr>
        <w:keepNext/>
        <w:spacing w:before="200" w:after="40"/>
      </w:pPr>
      <w:r>
        <w:rPr>
          <w:rFonts w:ascii="Arial" w:hAnsi="Arial"/>
          <w:b/>
          <w:sz w:val="32"/>
        </w:rPr>
        <w:t>4. Parameterized Execution &amp; Backfills</w:t>
      </w:r>
    </w:p>
    <w:p>
      <w:pPr>
        <w:spacing w:before="0" w:after="60" w:line="276" w:lineRule="auto"/>
      </w:pPr>
      <w:r>
        <w:rPr>
          <w:rFonts w:ascii="Arial" w:hAnsi="Arial"/>
          <w:sz w:val="24"/>
        </w:rPr>
        <w:t>All ingestion notebooks use Databricks Widgets (source_path and batch_id) to eliminate hardcoded file paths: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Standard Daily Load: </w:t>
      </w:r>
      <w:r>
        <w:rPr>
          <w:rFonts w:ascii="Arial" w:hAnsi="Arial"/>
          <w:sz w:val="24"/>
        </w:rPr>
        <w:t>Run 02_bronze_aisstream_incremental as-is using the default active daily file path.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b/>
          <w:sz w:val="24"/>
        </w:rPr>
        <w:t xml:space="preserve">Historical Backfill: </w:t>
      </w:r>
      <w:r>
        <w:rPr>
          <w:rFonts w:ascii="Arial" w:hAnsi="Arial"/>
          <w:sz w:val="24"/>
        </w:rPr>
        <w:t>Enter the historical file path in the source_path widget (e.g., /Volumes/workspace/bronze/raw_data/historical_batch.csv) and assign a batch_id. Re-running downstream Silver notebooks safely merges the data without creating duplicates.</w:t>
      </w:r>
    </w:p>
    <w:p>
      <w:pPr>
        <w:keepNext/>
        <w:spacing w:before="200" w:after="40"/>
      </w:pPr>
      <w:r>
        <w:rPr>
          <w:rFonts w:ascii="Arial" w:hAnsi="Arial"/>
          <w:b/>
          <w:sz w:val="32"/>
        </w:rPr>
        <w:t>5. Production Execution Metrics</w:t>
      </w:r>
    </w:p>
    <w:p>
      <w:pPr>
        <w:spacing w:before="0" w:after="60" w:line="276" w:lineRule="auto"/>
      </w:pPr>
      <w:r>
        <w:rPr>
          <w:rFonts w:ascii="Arial" w:hAnsi="Arial"/>
          <w:sz w:val="24"/>
        </w:rPr>
        <w:t>All 9 notebooks were executed on Databricks Serverless Compute. Pipeline runs are tracked in workspace.maritime_ops.pipeline_execution_logs: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Notebook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Layer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Status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Rows Processed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22"/>
              </w:rPr>
              <w:t>Target Table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00_setup_schemas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setup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Schemas &amp; Tables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workspace.*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03_bronze_wpi_reference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bronze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2,951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raw_wpi_ports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05_silver_dim_port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silver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2,938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dim_port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01_bronze_noaa_full_load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bronze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2,003,012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raw_noaa_ais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02_bronze_aisstream_incremental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bronze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1,870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raw_aisstream_incremental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04_silver_dim_vessel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silver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2,320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dim_vessel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06_silver_fact_position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silver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1,979,953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fact_vessel_position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07_silver_dim_voyage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silver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10,305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dim_voyage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08_gold_aggregations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gold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Success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26,390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Arial" w:hAnsi="Arial"/>
                <w:sz w:val="20"/>
              </w:rPr>
              <w:t>All 3 Gold Marts</w:t>
            </w:r>
          </w:p>
        </w:tc>
      </w:tr>
    </w:tbl>
    <w:p>
      <w:pPr>
        <w:keepNext/>
        <w:spacing w:before="200" w:after="40"/>
      </w:pPr>
      <w:r>
        <w:rPr>
          <w:rFonts w:ascii="Arial" w:hAnsi="Arial"/>
          <w:b/>
          <w:sz w:val="32"/>
        </w:rPr>
        <w:t>6. Execution Evidence &amp; Screenshots</w:t>
      </w:r>
    </w:p>
    <w:p>
      <w:pPr>
        <w:keepNext/>
        <w:spacing w:before="120" w:after="40"/>
      </w:pPr>
      <w:r>
        <w:rPr>
          <w:rFonts w:ascii="Arial" w:hAnsi="Arial"/>
          <w:b/>
          <w:sz w:val="24"/>
        </w:rPr>
        <w:t>Figure 1: Databricks Catalog Explorer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360" w:after="360"/>
              <w:jc w:val="center"/>
            </w:pPr>
            <w:r>
              <w:rPr>
                <w:rFonts w:ascii="Arial" w:hAnsi="Arial"/>
                <w:i/>
                <w:sz w:val="22"/>
              </w:rPr>
              <w:t>[ Insert Screenshot: Schemas (bronze, silver, gold, maritime_ops) and tables under workspace ]</w:t>
            </w:r>
          </w:p>
        </w:tc>
      </w:tr>
    </w:tbl>
    <w:p>
      <w:pPr>
        <w:keepNext/>
        <w:spacing w:before="120" w:after="40"/>
      </w:pPr>
      <w:r>
        <w:rPr>
          <w:rFonts w:ascii="Arial" w:hAnsi="Arial"/>
          <w:b/>
          <w:sz w:val="24"/>
        </w:rPr>
        <w:t>Figure 2: Pipeline Execution Logs Query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360" w:after="360"/>
              <w:jc w:val="center"/>
            </w:pPr>
            <w:r>
              <w:rPr>
                <w:rFonts w:ascii="Arial" w:hAnsi="Arial"/>
                <w:i/>
                <w:sz w:val="22"/>
              </w:rPr>
              <w:t>[ Insert Screenshot: Query results from workspace.maritime_ops.pipeline_execution_logs ]</w:t>
            </w:r>
          </w:p>
        </w:tc>
      </w:tr>
    </w:tbl>
    <w:p>
      <w:pPr>
        <w:keepNext/>
        <w:spacing w:before="120" w:after="40"/>
      </w:pPr>
      <w:r>
        <w:rPr>
          <w:rFonts w:ascii="Arial" w:hAnsi="Arial"/>
          <w:b/>
          <w:sz w:val="24"/>
        </w:rPr>
        <w:t>Figure 3: Silver Positional Fact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360" w:after="360"/>
              <w:jc w:val="center"/>
            </w:pPr>
            <w:r>
              <w:rPr>
                <w:rFonts w:ascii="Arial" w:hAnsi="Arial"/>
                <w:i/>
                <w:sz w:val="22"/>
              </w:rPr>
              <w:t>[ Insert Screenshot: Query results from SELECT * FROM workspace.silver.fact_vessel_position LIMIT 10 ]</w:t>
            </w:r>
          </w:p>
        </w:tc>
      </w:tr>
    </w:tbl>
    <w:p>
      <w:pPr>
        <w:keepNext/>
        <w:spacing w:before="120" w:after="40"/>
      </w:pPr>
      <w:r>
        <w:rPr>
          <w:rFonts w:ascii="Arial" w:hAnsi="Arial"/>
          <w:b/>
          <w:sz w:val="24"/>
        </w:rPr>
        <w:t>Figure 4: Silver Dimension Tables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360" w:after="360"/>
              <w:jc w:val="center"/>
            </w:pPr>
            <w:r>
              <w:rPr>
                <w:rFonts w:ascii="Arial" w:hAnsi="Arial"/>
                <w:i/>
                <w:sz w:val="22"/>
              </w:rPr>
              <w:t>[ Insert Screenshot: Query results from dim_vessel and dim_port ]</w:t>
            </w:r>
          </w:p>
        </w:tc>
      </w:tr>
    </w:tbl>
    <w:p>
      <w:pPr>
        <w:keepNext/>
        <w:spacing w:before="120" w:after="40"/>
      </w:pPr>
      <w:r>
        <w:rPr>
          <w:rFonts w:ascii="Arial" w:hAnsi="Arial"/>
          <w:b/>
          <w:sz w:val="24"/>
        </w:rPr>
        <w:t>Figure 5: Gold Analytics Marts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360" w:after="360"/>
              <w:jc w:val="center"/>
            </w:pPr>
            <w:r>
              <w:rPr>
                <w:rFonts w:ascii="Arial" w:hAnsi="Arial"/>
                <w:i/>
                <w:sz w:val="22"/>
              </w:rPr>
              <w:t>[ Insert Screenshot: Query results from daily_vessel_activity and port_congestion_daily ]</w:t>
            </w:r>
          </w:p>
        </w:tc>
      </w:tr>
    </w:tbl>
    <w:p>
      <w:pPr>
        <w:keepNext/>
        <w:spacing w:before="120" w:after="40"/>
      </w:pPr>
      <w:r>
        <w:rPr>
          <w:rFonts w:ascii="Arial" w:hAnsi="Arial"/>
          <w:b/>
          <w:sz w:val="24"/>
        </w:rPr>
        <w:t>Figure 6: Databricks Notebook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360" w:after="360"/>
              <w:jc w:val="center"/>
            </w:pPr>
            <w:r>
              <w:rPr>
                <w:rFonts w:ascii="Arial" w:hAnsi="Arial"/>
                <w:i/>
                <w:sz w:val="22"/>
              </w:rPr>
              <w:t>[ Insert Screenshot: Notebook output with green checkmarks (e.g., 06_silver_fact_position or 08_gold_aggregations) ]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