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0000"/>
          <w:sz w:val="36"/>
        </w:rPr>
        <w:t>Maritime Shipment &amp; Cargo Tracking Pipeline</w:t>
      </w:r>
    </w:p>
    <w:p>
      <w:pPr>
        <w:spacing w:before="0" w:after="80" w:line="276" w:lineRule="auto"/>
      </w:pPr>
      <w:r>
        <w:rPr>
          <w:rFonts w:ascii="Arial" w:hAnsi="Arial"/>
          <w:b/>
          <w:color w:val="000000"/>
          <w:sz w:val="24"/>
        </w:rPr>
        <w:t xml:space="preserve">Document Title: </w:t>
      </w:r>
      <w:r>
        <w:rPr>
          <w:rFonts w:ascii="Arial" w:hAnsi="Arial"/>
          <w:color w:val="000000"/>
          <w:sz w:val="24"/>
        </w:rPr>
        <w:t>Phase 2 Technical Implementation Report: Enterprise Lakehouse Pipeline</w:t>
      </w:r>
    </w:p>
    <w:p>
      <w:pPr>
        <w:spacing w:before="0" w:after="80" w:line="276" w:lineRule="auto"/>
      </w:pPr>
      <w:r>
        <w:rPr>
          <w:rFonts w:ascii="Arial" w:hAnsi="Arial"/>
          <w:b/>
          <w:color w:val="000000"/>
          <w:sz w:val="24"/>
        </w:rPr>
        <w:t xml:space="preserve">GitHub Repository: </w:t>
      </w:r>
      <w:r>
        <w:rPr>
          <w:rFonts w:ascii="Arial" w:hAnsi="Arial"/>
          <w:color w:val="000000"/>
          <w:sz w:val="24"/>
        </w:rPr>
        <w:t>https://github.com/TahaImran1/DAV_Shipment_And_Cargo_Tracking</w:t>
      </w:r>
    </w:p>
    <w:p>
      <w:pPr>
        <w:spacing w:before="0" w:after="80" w:line="276" w:lineRule="auto"/>
      </w:pPr>
      <w:r>
        <w:rPr>
          <w:rFonts w:ascii="Arial" w:hAnsi="Arial"/>
          <w:b/>
          <w:color w:val="000000"/>
          <w:sz w:val="24"/>
        </w:rPr>
        <w:t xml:space="preserve">Cloud Platform: </w:t>
      </w:r>
      <w:r>
        <w:rPr>
          <w:rFonts w:ascii="Arial" w:hAnsi="Arial"/>
          <w:color w:val="000000"/>
          <w:sz w:val="24"/>
        </w:rPr>
        <w:t>Databricks Serverless Compute (Apache Spark 4.x), Unity Catalog</w:t>
      </w:r>
    </w:p>
    <w:p>
      <w:pPr>
        <w:spacing w:before="0" w:after="80" w:line="276" w:lineRule="auto"/>
      </w:pPr>
      <w:r>
        <w:rPr>
          <w:rFonts w:ascii="Arial" w:hAnsi="Arial"/>
          <w:b/>
          <w:color w:val="000000"/>
          <w:sz w:val="24"/>
        </w:rPr>
        <w:t xml:space="preserve">Date: </w:t>
      </w:r>
      <w:r>
        <w:rPr>
          <w:rFonts w:ascii="Arial" w:hAnsi="Arial"/>
          <w:color w:val="000000"/>
          <w:sz w:val="24"/>
        </w:rPr>
        <w:t>October 2026</w:t>
      </w:r>
    </w:p>
    <w:p>
      <w:pPr>
        <w:keepNext/>
        <w:spacing w:before="280" w:after="80"/>
      </w:pPr>
      <w:r>
        <w:rPr>
          <w:rFonts w:ascii="Arial" w:hAnsi="Arial"/>
          <w:b/>
          <w:color w:val="000000"/>
          <w:sz w:val="32"/>
        </w:rPr>
        <w:t>1. Infrastructure &amp; Environment Setup</w:t>
      </w:r>
    </w:p>
    <w:p>
      <w:pPr>
        <w:spacing w:before="0" w:after="80" w:line="276" w:lineRule="auto"/>
      </w:pPr>
      <w:r>
        <w:rPr>
          <w:rFonts w:ascii="Arial" w:hAnsi="Arial"/>
          <w:color w:val="000000"/>
          <w:sz w:val="24"/>
        </w:rPr>
        <w:t>Phase 2 establishes an enterprise-grade Medallion Lakehouse data pipeline deployed on Databricks with Unity Catalog governance. The architecture is configured with four dedicated schemas under the catalog workspace:</w:t>
      </w:r>
    </w:p>
    <w:p>
      <w:pPr>
        <w:pStyle w:val="ListBullet"/>
        <w:spacing w:before="0" w:after="40" w:line="276" w:lineRule="auto"/>
      </w:pPr>
      <w:r>
        <w:rPr>
          <w:rFonts w:ascii="Arial" w:hAnsi="Arial"/>
          <w:b/>
          <w:color w:val="000000"/>
          <w:sz w:val="24"/>
        </w:rPr>
        <w:t xml:space="preserve">workspace.bronze: </w:t>
      </w:r>
      <w:r>
        <w:rPr>
          <w:rFonts w:ascii="Arial" w:hAnsi="Arial"/>
          <w:color w:val="000000"/>
          <w:sz w:val="24"/>
        </w:rPr>
        <w:t>Raw ingestion layer storing append-only historical telemetry, streaming WebSocket JSON, and port reference directories.</w:t>
      </w:r>
    </w:p>
    <w:p>
      <w:pPr>
        <w:pStyle w:val="ListBullet"/>
        <w:spacing w:before="0" w:after="40" w:line="276" w:lineRule="auto"/>
      </w:pPr>
      <w:r>
        <w:rPr>
          <w:rFonts w:ascii="Arial" w:hAnsi="Arial"/>
          <w:b/>
          <w:color w:val="000000"/>
          <w:sz w:val="24"/>
        </w:rPr>
        <w:t xml:space="preserve">workspace.silver: </w:t>
      </w:r>
      <w:r>
        <w:rPr>
          <w:rFonts w:ascii="Arial" w:hAnsi="Arial"/>
          <w:color w:val="000000"/>
          <w:sz w:val="24"/>
        </w:rPr>
        <w:t>Conformed Star Schema layer maintaining clean, deduplicated fact and dimension Delta tables updated via idempotent MERGE INTO operations.</w:t>
      </w:r>
    </w:p>
    <w:p>
      <w:pPr>
        <w:pStyle w:val="ListBullet"/>
        <w:spacing w:before="0" w:after="40" w:line="276" w:lineRule="auto"/>
      </w:pPr>
      <w:r>
        <w:rPr>
          <w:rFonts w:ascii="Arial" w:hAnsi="Arial"/>
          <w:b/>
          <w:color w:val="000000"/>
          <w:sz w:val="24"/>
        </w:rPr>
        <w:t xml:space="preserve">workspace.gold: </w:t>
      </w:r>
      <w:r>
        <w:rPr>
          <w:rFonts w:ascii="Arial" w:hAnsi="Arial"/>
          <w:color w:val="000000"/>
          <w:sz w:val="24"/>
        </w:rPr>
        <w:t>Business mart layer containing aggregated KPIs and summary tables feeding downstream Power BI dashboards.</w:t>
      </w:r>
    </w:p>
    <w:p>
      <w:pPr>
        <w:pStyle w:val="ListBullet"/>
        <w:spacing w:before="0" w:after="40" w:line="276" w:lineRule="auto"/>
      </w:pPr>
      <w:r>
        <w:rPr>
          <w:rFonts w:ascii="Arial" w:hAnsi="Arial"/>
          <w:b/>
          <w:color w:val="000000"/>
          <w:sz w:val="24"/>
        </w:rPr>
        <w:t xml:space="preserve">workspace.maritime_ops: </w:t>
      </w:r>
      <w:r>
        <w:rPr>
          <w:rFonts w:ascii="Arial" w:hAnsi="Arial"/>
          <w:color w:val="000000"/>
          <w:sz w:val="24"/>
        </w:rPr>
        <w:t>Operational observability schema recording runtime logs, duration metrics, and row count audits for every pipeline execution.</w:t>
      </w:r>
    </w:p>
    <w:p>
      <w:pPr>
        <w:spacing w:before="0" w:after="80" w:line="276" w:lineRule="auto"/>
      </w:pPr>
      <w:r>
        <w:rPr>
          <w:rFonts w:ascii="Arial" w:hAnsi="Arial"/>
          <w:color w:val="000000"/>
          <w:sz w:val="24"/>
        </w:rPr>
        <w:t>Raw data storage utilizes Databricks Unity Catalog Volumes at /Volumes/workspace/bronze/raw_data/, providing scalable cloud storage for large CSV and JSON files. Version control is maintained through continuous Git integration synchronized directly with the GitHub repository.</w:t>
      </w:r>
    </w:p>
    <w:p>
      <w:pPr>
        <w:keepNext/>
        <w:spacing w:before="280" w:after="80"/>
      </w:pPr>
      <w:r>
        <w:rPr>
          <w:rFonts w:ascii="Arial" w:hAnsi="Arial"/>
          <w:b/>
          <w:color w:val="000000"/>
          <w:sz w:val="32"/>
        </w:rPr>
        <w:t>2. Data Modeling &amp; Data Dictionaries</w:t>
      </w:r>
    </w:p>
    <w:p>
      <w:pPr>
        <w:keepNext/>
        <w:spacing w:before="200" w:after="40"/>
      </w:pPr>
      <w:r>
        <w:rPr>
          <w:rFonts w:ascii="Arial" w:hAnsi="Arial"/>
          <w:b/>
          <w:color w:val="000000"/>
          <w:sz w:val="28"/>
        </w:rPr>
        <w:t>2.1 Bronze Layer (Raw Ingestion)</w:t>
      </w:r>
    </w:p>
    <w:p>
      <w:pPr>
        <w:spacing w:before="0" w:after="80" w:line="276" w:lineRule="auto"/>
      </w:pPr>
      <w:r>
        <w:rPr>
          <w:rFonts w:ascii="Arial" w:hAnsi="Arial"/>
          <w:color w:val="000000"/>
          <w:sz w:val="24"/>
        </w:rPr>
        <w:t>Bronze tables store incoming raw data without loss of fidelity. All Bronze tables enforce explicit PySpark StructType schemas on read and integrate standard audit metadata columns including source, batch_id, ingestion_timestamp, and load_timestamp.</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2160"/>
        <w:gridCol w:w="2160"/>
        <w:gridCol w:w="2160"/>
        <w:gridCol w:w="2160"/>
        <w:gridCol w:w="2160"/>
      </w:tblGrid>
      <w:tr>
        <w:tc>
          <w:tcPr>
            <w:tcW w:type="dxa" w:w="2160"/>
          </w:tcPr>
          <w:p>
            <w:pPr>
              <w:spacing w:before="40" w:after="40"/>
            </w:pPr>
            <w:r>
              <w:rPr>
                <w:rFonts w:ascii="Arial" w:hAnsi="Arial"/>
                <w:b/>
                <w:sz w:val="22"/>
              </w:rPr>
              <w:t>Table Name</w:t>
            </w:r>
          </w:p>
        </w:tc>
        <w:tc>
          <w:tcPr>
            <w:tcW w:type="dxa" w:w="2160"/>
          </w:tcPr>
          <w:p>
            <w:pPr>
              <w:spacing w:before="40" w:after="40"/>
            </w:pPr>
            <w:r>
              <w:rPr>
                <w:rFonts w:ascii="Arial" w:hAnsi="Arial"/>
                <w:b/>
                <w:sz w:val="22"/>
              </w:rPr>
              <w:t>Source Format</w:t>
            </w:r>
          </w:p>
        </w:tc>
        <w:tc>
          <w:tcPr>
            <w:tcW w:type="dxa" w:w="2160"/>
          </w:tcPr>
          <w:p>
            <w:pPr>
              <w:spacing w:before="40" w:after="40"/>
            </w:pPr>
            <w:r>
              <w:rPr>
                <w:rFonts w:ascii="Arial" w:hAnsi="Arial"/>
                <w:b/>
                <w:sz w:val="22"/>
              </w:rPr>
              <w:t>Primary Key / Grain</w:t>
            </w:r>
          </w:p>
        </w:tc>
        <w:tc>
          <w:tcPr>
            <w:tcW w:type="dxa" w:w="2160"/>
          </w:tcPr>
          <w:p>
            <w:pPr>
              <w:spacing w:before="40" w:after="40"/>
            </w:pPr>
            <w:r>
              <w:rPr>
                <w:rFonts w:ascii="Arial" w:hAnsi="Arial"/>
                <w:b/>
                <w:sz w:val="22"/>
              </w:rPr>
              <w:t>Key Columns</w:t>
            </w:r>
          </w:p>
        </w:tc>
        <w:tc>
          <w:tcPr>
            <w:tcW w:type="dxa" w:w="2160"/>
          </w:tcPr>
          <w:p>
            <w:pPr>
              <w:spacing w:before="40" w:after="40"/>
            </w:pPr>
            <w:r>
              <w:rPr>
                <w:rFonts w:ascii="Arial" w:hAnsi="Arial"/>
                <w:b/>
                <w:sz w:val="22"/>
              </w:rPr>
              <w:t>Row Count</w:t>
            </w:r>
          </w:p>
        </w:tc>
      </w:tr>
      <w:tr>
        <w:tc>
          <w:tcPr>
            <w:tcW w:type="dxa" w:w="2160"/>
          </w:tcPr>
          <w:p>
            <w:pPr>
              <w:spacing w:before="40" w:after="40"/>
            </w:pPr>
            <w:r>
              <w:rPr>
                <w:rFonts w:ascii="Arial" w:hAnsi="Arial"/>
                <w:sz w:val="20"/>
              </w:rPr>
              <w:t>workspace.bronze.raw_noaa_ais</w:t>
            </w:r>
          </w:p>
        </w:tc>
        <w:tc>
          <w:tcPr>
            <w:tcW w:type="dxa" w:w="2160"/>
          </w:tcPr>
          <w:p>
            <w:pPr>
              <w:spacing w:before="40" w:after="40"/>
            </w:pPr>
            <w:r>
              <w:rPr>
                <w:rFonts w:ascii="Arial" w:hAnsi="Arial"/>
                <w:sz w:val="20"/>
              </w:rPr>
              <w:t>CSV (219 MB)</w:t>
            </w:r>
          </w:p>
        </w:tc>
        <w:tc>
          <w:tcPr>
            <w:tcW w:type="dxa" w:w="2160"/>
          </w:tcPr>
          <w:p>
            <w:pPr>
              <w:spacing w:before="40" w:after="40"/>
            </w:pPr>
            <w:r>
              <w:rPr>
                <w:rFonts w:ascii="Arial" w:hAnsi="Arial"/>
                <w:sz w:val="20"/>
              </w:rPr>
              <w:t>(MMSI, BaseDateTime)</w:t>
            </w:r>
          </w:p>
        </w:tc>
        <w:tc>
          <w:tcPr>
            <w:tcW w:type="dxa" w:w="2160"/>
          </w:tcPr>
          <w:p>
            <w:pPr>
              <w:spacing w:before="40" w:after="40"/>
            </w:pPr>
            <w:r>
              <w:rPr>
                <w:rFonts w:ascii="Arial" w:hAnsi="Arial"/>
                <w:sz w:val="20"/>
              </w:rPr>
              <w:t>MMSI, BaseDateTime, LAT, LON, SOG, COG, Heading, VesselName, IMO, load_timestamp</w:t>
            </w:r>
          </w:p>
        </w:tc>
        <w:tc>
          <w:tcPr>
            <w:tcW w:type="dxa" w:w="2160"/>
          </w:tcPr>
          <w:p>
            <w:pPr>
              <w:spacing w:before="40" w:after="40"/>
            </w:pPr>
            <w:r>
              <w:rPr>
                <w:rFonts w:ascii="Arial" w:hAnsi="Arial"/>
                <w:sz w:val="20"/>
              </w:rPr>
              <w:t>2,003,012</w:t>
            </w:r>
          </w:p>
        </w:tc>
      </w:tr>
      <w:tr>
        <w:tc>
          <w:tcPr>
            <w:tcW w:type="dxa" w:w="2160"/>
          </w:tcPr>
          <w:p>
            <w:pPr>
              <w:spacing w:before="40" w:after="40"/>
            </w:pPr>
            <w:r>
              <w:rPr>
                <w:rFonts w:ascii="Arial" w:hAnsi="Arial"/>
                <w:sz w:val="20"/>
              </w:rPr>
              <w:t>workspace.bronze.raw_aisstream_incremental</w:t>
            </w:r>
          </w:p>
        </w:tc>
        <w:tc>
          <w:tcPr>
            <w:tcW w:type="dxa" w:w="2160"/>
          </w:tcPr>
          <w:p>
            <w:pPr>
              <w:spacing w:before="40" w:after="40"/>
            </w:pPr>
            <w:r>
              <w:rPr>
                <w:rFonts w:ascii="Arial" w:hAnsi="Arial"/>
                <w:sz w:val="20"/>
              </w:rPr>
              <w:t>JSON Lines</w:t>
            </w:r>
          </w:p>
        </w:tc>
        <w:tc>
          <w:tcPr>
            <w:tcW w:type="dxa" w:w="2160"/>
          </w:tcPr>
          <w:p>
            <w:pPr>
              <w:spacing w:before="40" w:after="40"/>
            </w:pPr>
            <w:r>
              <w:rPr>
                <w:rFonts w:ascii="Arial" w:hAnsi="Arial"/>
                <w:sz w:val="20"/>
              </w:rPr>
              <w:t>(mmsi, time_utc)</w:t>
            </w:r>
          </w:p>
        </w:tc>
        <w:tc>
          <w:tcPr>
            <w:tcW w:type="dxa" w:w="2160"/>
          </w:tcPr>
          <w:p>
            <w:pPr>
              <w:spacing w:before="40" w:after="40"/>
            </w:pPr>
            <w:r>
              <w:rPr>
                <w:rFonts w:ascii="Arial" w:hAnsi="Arial"/>
                <w:sz w:val="20"/>
              </w:rPr>
              <w:t>mmsi, ship_name, latitude, longitude, sog, cog, nav_status, ship_type, load_timestamp</w:t>
            </w:r>
          </w:p>
        </w:tc>
        <w:tc>
          <w:tcPr>
            <w:tcW w:type="dxa" w:w="2160"/>
          </w:tcPr>
          <w:p>
            <w:pPr>
              <w:spacing w:before="40" w:after="40"/>
            </w:pPr>
            <w:r>
              <w:rPr>
                <w:rFonts w:ascii="Arial" w:hAnsi="Arial"/>
                <w:sz w:val="20"/>
              </w:rPr>
              <w:t>1,870</w:t>
            </w:r>
          </w:p>
        </w:tc>
      </w:tr>
      <w:tr>
        <w:tc>
          <w:tcPr>
            <w:tcW w:type="dxa" w:w="2160"/>
          </w:tcPr>
          <w:p>
            <w:pPr>
              <w:spacing w:before="40" w:after="40"/>
            </w:pPr>
            <w:r>
              <w:rPr>
                <w:rFonts w:ascii="Arial" w:hAnsi="Arial"/>
                <w:sz w:val="20"/>
              </w:rPr>
              <w:t>workspace.bronze.raw_wpi_ports</w:t>
            </w:r>
          </w:p>
        </w:tc>
        <w:tc>
          <w:tcPr>
            <w:tcW w:type="dxa" w:w="2160"/>
          </w:tcPr>
          <w:p>
            <w:pPr>
              <w:spacing w:before="40" w:after="40"/>
            </w:pPr>
            <w:r>
              <w:rPr>
                <w:rFonts w:ascii="Arial" w:hAnsi="Arial"/>
                <w:sz w:val="20"/>
              </w:rPr>
              <w:t>CSV (1.3 MB)</w:t>
            </w:r>
          </w:p>
        </w:tc>
        <w:tc>
          <w:tcPr>
            <w:tcW w:type="dxa" w:w="2160"/>
          </w:tcPr>
          <w:p>
            <w:pPr>
              <w:spacing w:before="40" w:after="40"/>
            </w:pPr>
            <w:r>
              <w:rPr>
                <w:rFonts w:ascii="Arial" w:hAnsi="Arial"/>
                <w:sz w:val="20"/>
              </w:rPr>
              <w:t>portNumber</w:t>
            </w:r>
          </w:p>
        </w:tc>
        <w:tc>
          <w:tcPr>
            <w:tcW w:type="dxa" w:w="2160"/>
          </w:tcPr>
          <w:p>
            <w:pPr>
              <w:spacing w:before="40" w:after="40"/>
            </w:pPr>
            <w:r>
              <w:rPr>
                <w:rFonts w:ascii="Arial" w:hAnsi="Arial"/>
                <w:sz w:val="20"/>
              </w:rPr>
              <w:t>portNumber, portName, countryCode, latitude, longitude, harborSize, load_timestamp</w:t>
            </w:r>
          </w:p>
        </w:tc>
        <w:tc>
          <w:tcPr>
            <w:tcW w:type="dxa" w:w="2160"/>
          </w:tcPr>
          <w:p>
            <w:pPr>
              <w:spacing w:before="40" w:after="40"/>
            </w:pPr>
            <w:r>
              <w:rPr>
                <w:rFonts w:ascii="Arial" w:hAnsi="Arial"/>
                <w:sz w:val="20"/>
              </w:rPr>
              <w:t>2,951</w:t>
            </w:r>
          </w:p>
        </w:tc>
      </w:tr>
      <w:tr>
        <w:tc>
          <w:tcPr>
            <w:tcW w:type="dxa" w:w="2160"/>
          </w:tcPr>
          <w:p>
            <w:pPr>
              <w:spacing w:before="40" w:after="40"/>
            </w:pPr>
            <w:r>
              <w:rPr>
                <w:rFonts w:ascii="Arial" w:hAnsi="Arial"/>
                <w:sz w:val="20"/>
              </w:rPr>
              <w:t>workspace.bronze.quarantine</w:t>
            </w:r>
          </w:p>
        </w:tc>
        <w:tc>
          <w:tcPr>
            <w:tcW w:type="dxa" w:w="2160"/>
          </w:tcPr>
          <w:p>
            <w:pPr>
              <w:spacing w:before="40" w:after="40"/>
            </w:pPr>
            <w:r>
              <w:rPr>
                <w:rFonts w:ascii="Arial" w:hAnsi="Arial"/>
                <w:sz w:val="20"/>
              </w:rPr>
              <w:t>Delta Table</w:t>
            </w:r>
          </w:p>
        </w:tc>
        <w:tc>
          <w:tcPr>
            <w:tcW w:type="dxa" w:w="2160"/>
          </w:tcPr>
          <w:p>
            <w:pPr>
              <w:spacing w:before="40" w:after="40"/>
            </w:pPr>
            <w:r>
              <w:rPr>
                <w:rFonts w:ascii="Arial" w:hAnsi="Arial"/>
                <w:sz w:val="20"/>
              </w:rPr>
              <w:t>quarantine_id</w:t>
            </w:r>
          </w:p>
        </w:tc>
        <w:tc>
          <w:tcPr>
            <w:tcW w:type="dxa" w:w="2160"/>
          </w:tcPr>
          <w:p>
            <w:pPr>
              <w:spacing w:before="40" w:after="40"/>
            </w:pPr>
            <w:r>
              <w:rPr>
                <w:rFonts w:ascii="Arial" w:hAnsi="Arial"/>
                <w:sz w:val="20"/>
              </w:rPr>
              <w:t>quarantine_id, source, batch_id, raw_payload, error_reason, quarantine_timestamp</w:t>
            </w:r>
          </w:p>
        </w:tc>
        <w:tc>
          <w:tcPr>
            <w:tcW w:type="dxa" w:w="2160"/>
          </w:tcPr>
          <w:p>
            <w:pPr>
              <w:spacing w:before="40" w:after="40"/>
            </w:pPr>
            <w:r>
              <w:rPr>
                <w:rFonts w:ascii="Arial" w:hAnsi="Arial"/>
                <w:sz w:val="20"/>
              </w:rPr>
              <w:t>Audit Table</w:t>
            </w:r>
          </w:p>
        </w:tc>
      </w:tr>
    </w:tbl>
    <w:p>
      <w:pPr>
        <w:keepNext/>
        <w:spacing w:before="200" w:after="40"/>
      </w:pPr>
      <w:r>
        <w:rPr>
          <w:rFonts w:ascii="Arial" w:hAnsi="Arial"/>
          <w:b/>
          <w:color w:val="000000"/>
          <w:sz w:val="28"/>
        </w:rPr>
        <w:t>2.2 Silver Layer (Conformed Star Schema)</w:t>
      </w:r>
    </w:p>
    <w:p>
      <w:pPr>
        <w:spacing w:before="0" w:after="80" w:line="276" w:lineRule="auto"/>
      </w:pPr>
      <w:r>
        <w:rPr>
          <w:rFonts w:ascii="Arial" w:hAnsi="Arial"/>
          <w:color w:val="000000"/>
          <w:sz w:val="24"/>
        </w:rPr>
        <w:t>Silver tables represent the core analytical star schema. Silver transformations clean coordinates, cast data types, standardize vessel identifiers, and apply idempotent MERGE INTO upserts.</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2160"/>
        <w:gridCol w:w="2160"/>
        <w:gridCol w:w="2160"/>
        <w:gridCol w:w="2160"/>
        <w:gridCol w:w="2160"/>
      </w:tblGrid>
      <w:tr>
        <w:tc>
          <w:tcPr>
            <w:tcW w:type="dxa" w:w="2160"/>
          </w:tcPr>
          <w:p>
            <w:pPr>
              <w:spacing w:before="40" w:after="40"/>
            </w:pPr>
            <w:r>
              <w:rPr>
                <w:rFonts w:ascii="Arial" w:hAnsi="Arial"/>
                <w:b/>
                <w:sz w:val="22"/>
              </w:rPr>
              <w:t>Table Name</w:t>
            </w:r>
          </w:p>
        </w:tc>
        <w:tc>
          <w:tcPr>
            <w:tcW w:type="dxa" w:w="2160"/>
          </w:tcPr>
          <w:p>
            <w:pPr>
              <w:spacing w:before="40" w:after="40"/>
            </w:pPr>
            <w:r>
              <w:rPr>
                <w:rFonts w:ascii="Arial" w:hAnsi="Arial"/>
                <w:b/>
                <w:sz w:val="22"/>
              </w:rPr>
              <w:t>Table Type</w:t>
            </w:r>
          </w:p>
        </w:tc>
        <w:tc>
          <w:tcPr>
            <w:tcW w:type="dxa" w:w="2160"/>
          </w:tcPr>
          <w:p>
            <w:pPr>
              <w:spacing w:before="40" w:after="40"/>
            </w:pPr>
            <w:r>
              <w:rPr>
                <w:rFonts w:ascii="Arial" w:hAnsi="Arial"/>
                <w:b/>
                <w:sz w:val="22"/>
              </w:rPr>
              <w:t>Primary Key</w:t>
            </w:r>
          </w:p>
        </w:tc>
        <w:tc>
          <w:tcPr>
            <w:tcW w:type="dxa" w:w="2160"/>
          </w:tcPr>
          <w:p>
            <w:pPr>
              <w:spacing w:before="40" w:after="40"/>
            </w:pPr>
            <w:r>
              <w:rPr>
                <w:rFonts w:ascii="Arial" w:hAnsi="Arial"/>
                <w:b/>
                <w:sz w:val="22"/>
              </w:rPr>
              <w:t>Key Attributes &amp; Types</w:t>
            </w:r>
          </w:p>
        </w:tc>
        <w:tc>
          <w:tcPr>
            <w:tcW w:type="dxa" w:w="2160"/>
          </w:tcPr>
          <w:p>
            <w:pPr>
              <w:spacing w:before="40" w:after="40"/>
            </w:pPr>
            <w:r>
              <w:rPr>
                <w:rFonts w:ascii="Arial" w:hAnsi="Arial"/>
                <w:b/>
                <w:sz w:val="22"/>
              </w:rPr>
              <w:t>Row Count</w:t>
            </w:r>
          </w:p>
        </w:tc>
      </w:tr>
      <w:tr>
        <w:tc>
          <w:tcPr>
            <w:tcW w:type="dxa" w:w="2160"/>
          </w:tcPr>
          <w:p>
            <w:pPr>
              <w:spacing w:before="40" w:after="40"/>
            </w:pPr>
            <w:r>
              <w:rPr>
                <w:rFonts w:ascii="Arial" w:hAnsi="Arial"/>
                <w:sz w:val="20"/>
              </w:rPr>
              <w:t>workspace.silver.dim_vessel</w:t>
            </w:r>
          </w:p>
        </w:tc>
        <w:tc>
          <w:tcPr>
            <w:tcW w:type="dxa" w:w="2160"/>
          </w:tcPr>
          <w:p>
            <w:pPr>
              <w:spacing w:before="40" w:after="40"/>
            </w:pPr>
            <w:r>
              <w:rPr>
                <w:rFonts w:ascii="Arial" w:hAnsi="Arial"/>
                <w:sz w:val="20"/>
              </w:rPr>
              <w:t>Dimension (SCD-1)</w:t>
            </w:r>
          </w:p>
        </w:tc>
        <w:tc>
          <w:tcPr>
            <w:tcW w:type="dxa" w:w="2160"/>
          </w:tcPr>
          <w:p>
            <w:pPr>
              <w:spacing w:before="40" w:after="40"/>
            </w:pPr>
            <w:r>
              <w:rPr>
                <w:rFonts w:ascii="Arial" w:hAnsi="Arial"/>
                <w:sz w:val="20"/>
              </w:rPr>
              <w:t>mmsi (BIGINT)</w:t>
            </w:r>
          </w:p>
        </w:tc>
        <w:tc>
          <w:tcPr>
            <w:tcW w:type="dxa" w:w="2160"/>
          </w:tcPr>
          <w:p>
            <w:pPr>
              <w:spacing w:before="40" w:after="40"/>
            </w:pPr>
            <w:r>
              <w:rPr>
                <w:rFonts w:ascii="Arial" w:hAnsi="Arial"/>
                <w:sz w:val="20"/>
              </w:rPr>
              <w:t>vessel_name (STRING), imo (STRING), call_sign (STRING), vessel_type (INT), length (DOUBLE), width (DOUBLE), draft (DOUBLE), load_timestamp (TIMESTAMP)</w:t>
            </w:r>
          </w:p>
        </w:tc>
        <w:tc>
          <w:tcPr>
            <w:tcW w:type="dxa" w:w="2160"/>
          </w:tcPr>
          <w:p>
            <w:pPr>
              <w:spacing w:before="40" w:after="40"/>
            </w:pPr>
            <w:r>
              <w:rPr>
                <w:rFonts w:ascii="Arial" w:hAnsi="Arial"/>
                <w:sz w:val="20"/>
              </w:rPr>
              <w:t>2,320</w:t>
            </w:r>
          </w:p>
        </w:tc>
      </w:tr>
      <w:tr>
        <w:tc>
          <w:tcPr>
            <w:tcW w:type="dxa" w:w="2160"/>
          </w:tcPr>
          <w:p>
            <w:pPr>
              <w:spacing w:before="40" w:after="40"/>
            </w:pPr>
            <w:r>
              <w:rPr>
                <w:rFonts w:ascii="Arial" w:hAnsi="Arial"/>
                <w:sz w:val="20"/>
              </w:rPr>
              <w:t>workspace.silver.dim_port</w:t>
            </w:r>
          </w:p>
        </w:tc>
        <w:tc>
          <w:tcPr>
            <w:tcW w:type="dxa" w:w="2160"/>
          </w:tcPr>
          <w:p>
            <w:pPr>
              <w:spacing w:before="40" w:after="40"/>
            </w:pPr>
            <w:r>
              <w:rPr>
                <w:rFonts w:ascii="Arial" w:hAnsi="Arial"/>
                <w:sz w:val="20"/>
              </w:rPr>
              <w:t>Dimension</w:t>
            </w:r>
          </w:p>
        </w:tc>
        <w:tc>
          <w:tcPr>
            <w:tcW w:type="dxa" w:w="2160"/>
          </w:tcPr>
          <w:p>
            <w:pPr>
              <w:spacing w:before="40" w:after="40"/>
            </w:pPr>
            <w:r>
              <w:rPr>
                <w:rFonts w:ascii="Arial" w:hAnsi="Arial"/>
                <w:sz w:val="20"/>
              </w:rPr>
              <w:t>port_code (STRING)</w:t>
            </w:r>
          </w:p>
        </w:tc>
        <w:tc>
          <w:tcPr>
            <w:tcW w:type="dxa" w:w="2160"/>
          </w:tcPr>
          <w:p>
            <w:pPr>
              <w:spacing w:before="40" w:after="40"/>
            </w:pPr>
            <w:r>
              <w:rPr>
                <w:rFonts w:ascii="Arial" w:hAnsi="Arial"/>
                <w:sz w:val="20"/>
              </w:rPr>
              <w:t>port_number (INT), port_name (STRING), country (STRING), latitude (DOUBLE), longitude (DOUBLE), harbor_size (STRING), load_timestamp (TIMESTAMP)</w:t>
            </w:r>
          </w:p>
        </w:tc>
        <w:tc>
          <w:tcPr>
            <w:tcW w:type="dxa" w:w="2160"/>
          </w:tcPr>
          <w:p>
            <w:pPr>
              <w:spacing w:before="40" w:after="40"/>
            </w:pPr>
            <w:r>
              <w:rPr>
                <w:rFonts w:ascii="Arial" w:hAnsi="Arial"/>
                <w:sz w:val="20"/>
              </w:rPr>
              <w:t>2,938</w:t>
            </w:r>
          </w:p>
        </w:tc>
      </w:tr>
      <w:tr>
        <w:tc>
          <w:tcPr>
            <w:tcW w:type="dxa" w:w="2160"/>
          </w:tcPr>
          <w:p>
            <w:pPr>
              <w:spacing w:before="40" w:after="40"/>
            </w:pPr>
            <w:r>
              <w:rPr>
                <w:rFonts w:ascii="Arial" w:hAnsi="Arial"/>
                <w:sz w:val="20"/>
              </w:rPr>
              <w:t>workspace.silver.fact_vessel_position</w:t>
            </w:r>
          </w:p>
        </w:tc>
        <w:tc>
          <w:tcPr>
            <w:tcW w:type="dxa" w:w="2160"/>
          </w:tcPr>
          <w:p>
            <w:pPr>
              <w:spacing w:before="40" w:after="40"/>
            </w:pPr>
            <w:r>
              <w:rPr>
                <w:rFonts w:ascii="Arial" w:hAnsi="Arial"/>
                <w:sz w:val="20"/>
              </w:rPr>
              <w:t>Fact Table</w:t>
            </w:r>
          </w:p>
        </w:tc>
        <w:tc>
          <w:tcPr>
            <w:tcW w:type="dxa" w:w="2160"/>
          </w:tcPr>
          <w:p>
            <w:pPr>
              <w:spacing w:before="40" w:after="40"/>
            </w:pPr>
            <w:r>
              <w:rPr>
                <w:rFonts w:ascii="Arial" w:hAnsi="Arial"/>
                <w:sz w:val="20"/>
              </w:rPr>
              <w:t>(mmsi, timestamp)</w:t>
            </w:r>
          </w:p>
        </w:tc>
        <w:tc>
          <w:tcPr>
            <w:tcW w:type="dxa" w:w="2160"/>
          </w:tcPr>
          <w:p>
            <w:pPr>
              <w:spacing w:before="40" w:after="40"/>
            </w:pPr>
            <w:r>
              <w:rPr>
                <w:rFonts w:ascii="Arial" w:hAnsi="Arial"/>
                <w:sz w:val="20"/>
              </w:rPr>
              <w:t>latitude (DOUBLE), longitude (DOUBLE), sog (DOUBLE), cog (DOUBLE), heading (DOUBLE), status (INT), source (STRING), load_timestamp (TIMESTAMP)</w:t>
            </w:r>
          </w:p>
        </w:tc>
        <w:tc>
          <w:tcPr>
            <w:tcW w:type="dxa" w:w="2160"/>
          </w:tcPr>
          <w:p>
            <w:pPr>
              <w:spacing w:before="40" w:after="40"/>
            </w:pPr>
            <w:r>
              <w:rPr>
                <w:rFonts w:ascii="Arial" w:hAnsi="Arial"/>
                <w:sz w:val="20"/>
              </w:rPr>
              <w:t>1,979,953</w:t>
            </w:r>
          </w:p>
        </w:tc>
      </w:tr>
      <w:tr>
        <w:tc>
          <w:tcPr>
            <w:tcW w:type="dxa" w:w="2160"/>
          </w:tcPr>
          <w:p>
            <w:pPr>
              <w:spacing w:before="40" w:after="40"/>
            </w:pPr>
            <w:r>
              <w:rPr>
                <w:rFonts w:ascii="Arial" w:hAnsi="Arial"/>
                <w:sz w:val="20"/>
              </w:rPr>
              <w:t>workspace.silver.dim_voyage</w:t>
            </w:r>
          </w:p>
        </w:tc>
        <w:tc>
          <w:tcPr>
            <w:tcW w:type="dxa" w:w="2160"/>
          </w:tcPr>
          <w:p>
            <w:pPr>
              <w:spacing w:before="40" w:after="40"/>
            </w:pPr>
            <w:r>
              <w:rPr>
                <w:rFonts w:ascii="Arial" w:hAnsi="Arial"/>
                <w:sz w:val="20"/>
              </w:rPr>
              <w:t>Dimension</w:t>
            </w:r>
          </w:p>
        </w:tc>
        <w:tc>
          <w:tcPr>
            <w:tcW w:type="dxa" w:w="2160"/>
          </w:tcPr>
          <w:p>
            <w:pPr>
              <w:spacing w:before="40" w:after="40"/>
            </w:pPr>
            <w:r>
              <w:rPr>
                <w:rFonts w:ascii="Arial" w:hAnsi="Arial"/>
                <w:sz w:val="20"/>
              </w:rPr>
              <w:t>voyage_id (STRING)</w:t>
            </w:r>
          </w:p>
        </w:tc>
        <w:tc>
          <w:tcPr>
            <w:tcW w:type="dxa" w:w="2160"/>
          </w:tcPr>
          <w:p>
            <w:pPr>
              <w:spacing w:before="40" w:after="40"/>
            </w:pPr>
            <w:r>
              <w:rPr>
                <w:rFonts w:ascii="Arial" w:hAnsi="Arial"/>
                <w:sz w:val="20"/>
              </w:rPr>
              <w:t>mmsi (BIGINT), voyage_seq (BIGINT), departure_time (TIMESTAMP), arrival_time (TIMESTAMP), arrival_port_code (STRING), position_count (BIGINT), load_timestamp (TIMESTAMP)</w:t>
            </w:r>
          </w:p>
        </w:tc>
        <w:tc>
          <w:tcPr>
            <w:tcW w:type="dxa" w:w="2160"/>
          </w:tcPr>
          <w:p>
            <w:pPr>
              <w:spacing w:before="40" w:after="40"/>
            </w:pPr>
            <w:r>
              <w:rPr>
                <w:rFonts w:ascii="Arial" w:hAnsi="Arial"/>
                <w:sz w:val="20"/>
              </w:rPr>
              <w:t>10,305</w:t>
            </w:r>
          </w:p>
        </w:tc>
      </w:tr>
    </w:tbl>
    <w:p>
      <w:pPr>
        <w:keepNext/>
        <w:spacing w:before="200" w:after="40"/>
      </w:pPr>
      <w:r>
        <w:rPr>
          <w:rFonts w:ascii="Arial" w:hAnsi="Arial"/>
          <w:b/>
          <w:color w:val="000000"/>
          <w:sz w:val="28"/>
        </w:rPr>
        <w:t>2.3 Gold Layer (Business Aggregations &amp; Marts)</w:t>
      </w:r>
    </w:p>
    <w:p>
      <w:pPr>
        <w:spacing w:before="0" w:after="80" w:line="276" w:lineRule="auto"/>
      </w:pPr>
      <w:r>
        <w:rPr>
          <w:rFonts w:ascii="Arial" w:hAnsi="Arial"/>
          <w:color w:val="000000"/>
          <w:sz w:val="24"/>
        </w:rPr>
        <w:t>Gold contains aggregated business-level marts feeding Power BI reporting dashboards. Gold tables contain summaries only, derived directly from Silver facts and dimensions.</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2700"/>
        <w:gridCol w:w="2700"/>
        <w:gridCol w:w="2700"/>
        <w:gridCol w:w="2700"/>
      </w:tblGrid>
      <w:tr>
        <w:tc>
          <w:tcPr>
            <w:tcW w:type="dxa" w:w="2700"/>
          </w:tcPr>
          <w:p>
            <w:pPr>
              <w:spacing w:before="40" w:after="40"/>
            </w:pPr>
            <w:r>
              <w:rPr>
                <w:rFonts w:ascii="Arial" w:hAnsi="Arial"/>
                <w:b/>
                <w:sz w:val="22"/>
              </w:rPr>
              <w:t>Table Name</w:t>
            </w:r>
          </w:p>
        </w:tc>
        <w:tc>
          <w:tcPr>
            <w:tcW w:type="dxa" w:w="2700"/>
          </w:tcPr>
          <w:p>
            <w:pPr>
              <w:spacing w:before="40" w:after="40"/>
            </w:pPr>
            <w:r>
              <w:rPr>
                <w:rFonts w:ascii="Arial" w:hAnsi="Arial"/>
                <w:b/>
                <w:sz w:val="22"/>
              </w:rPr>
              <w:t>Grain</w:t>
            </w:r>
          </w:p>
        </w:tc>
        <w:tc>
          <w:tcPr>
            <w:tcW w:type="dxa" w:w="2700"/>
          </w:tcPr>
          <w:p>
            <w:pPr>
              <w:spacing w:before="40" w:after="40"/>
            </w:pPr>
            <w:r>
              <w:rPr>
                <w:rFonts w:ascii="Arial" w:hAnsi="Arial"/>
                <w:b/>
                <w:sz w:val="22"/>
              </w:rPr>
              <w:t>Key Business Metrics</w:t>
            </w:r>
          </w:p>
        </w:tc>
        <w:tc>
          <w:tcPr>
            <w:tcW w:type="dxa" w:w="2700"/>
          </w:tcPr>
          <w:p>
            <w:pPr>
              <w:spacing w:before="40" w:after="40"/>
            </w:pPr>
            <w:r>
              <w:rPr>
                <w:rFonts w:ascii="Arial" w:hAnsi="Arial"/>
                <w:b/>
                <w:sz w:val="22"/>
              </w:rPr>
              <w:t>Row Count</w:t>
            </w:r>
          </w:p>
        </w:tc>
      </w:tr>
      <w:tr>
        <w:tc>
          <w:tcPr>
            <w:tcW w:type="dxa" w:w="2700"/>
          </w:tcPr>
          <w:p>
            <w:pPr>
              <w:spacing w:before="40" w:after="40"/>
            </w:pPr>
            <w:r>
              <w:rPr>
                <w:rFonts w:ascii="Arial" w:hAnsi="Arial"/>
                <w:sz w:val="20"/>
              </w:rPr>
              <w:t>workspace.gold.port_congestion_daily</w:t>
            </w:r>
          </w:p>
        </w:tc>
        <w:tc>
          <w:tcPr>
            <w:tcW w:type="dxa" w:w="2700"/>
          </w:tcPr>
          <w:p>
            <w:pPr>
              <w:spacing w:before="40" w:after="40"/>
            </w:pPr>
            <w:r>
              <w:rPr>
                <w:rFonts w:ascii="Arial" w:hAnsi="Arial"/>
                <w:sz w:val="20"/>
              </w:rPr>
              <w:t>Port Code x Date</w:t>
            </w:r>
          </w:p>
        </w:tc>
        <w:tc>
          <w:tcPr>
            <w:tcW w:type="dxa" w:w="2700"/>
          </w:tcPr>
          <w:p>
            <w:pPr>
              <w:spacing w:before="40" w:after="40"/>
            </w:pPr>
            <w:r>
              <w:rPr>
                <w:rFonts w:ascii="Arial" w:hAnsi="Arial"/>
                <w:sz w:val="20"/>
              </w:rPr>
              <w:t>vessels_in_port, daily dwell and anchorage counts</w:t>
            </w:r>
          </w:p>
        </w:tc>
        <w:tc>
          <w:tcPr>
            <w:tcW w:type="dxa" w:w="2700"/>
          </w:tcPr>
          <w:p>
            <w:pPr>
              <w:spacing w:before="40" w:after="40"/>
            </w:pPr>
            <w:r>
              <w:rPr>
                <w:rFonts w:ascii="Arial" w:hAnsi="Arial"/>
                <w:sz w:val="20"/>
              </w:rPr>
              <w:t>124</w:t>
            </w:r>
          </w:p>
        </w:tc>
      </w:tr>
      <w:tr>
        <w:tc>
          <w:tcPr>
            <w:tcW w:type="dxa" w:w="2700"/>
          </w:tcPr>
          <w:p>
            <w:pPr>
              <w:spacing w:before="40" w:after="40"/>
            </w:pPr>
            <w:r>
              <w:rPr>
                <w:rFonts w:ascii="Arial" w:hAnsi="Arial"/>
                <w:sz w:val="20"/>
              </w:rPr>
              <w:t>workspace.gold.daily_vessel_activity</w:t>
            </w:r>
          </w:p>
        </w:tc>
        <w:tc>
          <w:tcPr>
            <w:tcW w:type="dxa" w:w="2700"/>
          </w:tcPr>
          <w:p>
            <w:pPr>
              <w:spacing w:before="40" w:after="40"/>
            </w:pPr>
            <w:r>
              <w:rPr>
                <w:rFonts w:ascii="Arial" w:hAnsi="Arial"/>
                <w:sz w:val="20"/>
              </w:rPr>
              <w:t>MMSI x Date</w:t>
            </w:r>
          </w:p>
        </w:tc>
        <w:tc>
          <w:tcPr>
            <w:tcW w:type="dxa" w:w="2700"/>
          </w:tcPr>
          <w:p>
            <w:pPr>
              <w:spacing w:before="40" w:after="40"/>
            </w:pPr>
            <w:r>
              <w:rPr>
                <w:rFonts w:ascii="Arial" w:hAnsi="Arial"/>
                <w:sz w:val="20"/>
              </w:rPr>
              <w:t>total_distance_km, avg_speed_knots, operating_hours</w:t>
            </w:r>
          </w:p>
        </w:tc>
        <w:tc>
          <w:tcPr>
            <w:tcW w:type="dxa" w:w="2700"/>
          </w:tcPr>
          <w:p>
            <w:pPr>
              <w:spacing w:before="40" w:after="40"/>
            </w:pPr>
            <w:r>
              <w:rPr>
                <w:rFonts w:ascii="Arial" w:hAnsi="Arial"/>
                <w:sz w:val="20"/>
              </w:rPr>
              <w:t>13,133</w:t>
            </w:r>
          </w:p>
        </w:tc>
      </w:tr>
      <w:tr>
        <w:tc>
          <w:tcPr>
            <w:tcW w:type="dxa" w:w="2700"/>
          </w:tcPr>
          <w:p>
            <w:pPr>
              <w:spacing w:before="40" w:after="40"/>
            </w:pPr>
            <w:r>
              <w:rPr>
                <w:rFonts w:ascii="Arial" w:hAnsi="Arial"/>
                <w:sz w:val="20"/>
              </w:rPr>
              <w:t>workspace.gold.vessel_emissions_proxy</w:t>
            </w:r>
          </w:p>
        </w:tc>
        <w:tc>
          <w:tcPr>
            <w:tcW w:type="dxa" w:w="2700"/>
          </w:tcPr>
          <w:p>
            <w:pPr>
              <w:spacing w:before="40" w:after="40"/>
            </w:pPr>
            <w:r>
              <w:rPr>
                <w:rFonts w:ascii="Arial" w:hAnsi="Arial"/>
                <w:sz w:val="20"/>
              </w:rPr>
              <w:t>MMSI x Date</w:t>
            </w:r>
          </w:p>
        </w:tc>
        <w:tc>
          <w:tcPr>
            <w:tcW w:type="dxa" w:w="2700"/>
          </w:tcPr>
          <w:p>
            <w:pPr>
              <w:spacing w:before="40" w:after="40"/>
            </w:pPr>
            <w:r>
              <w:rPr>
                <w:rFonts w:ascii="Arial" w:hAnsi="Arial"/>
                <w:sz w:val="20"/>
              </w:rPr>
              <w:t>fuel_burn_proxy_tonnes (Admiralty cube law), co2_proxy_tonnes</w:t>
            </w:r>
          </w:p>
        </w:tc>
        <w:tc>
          <w:tcPr>
            <w:tcW w:type="dxa" w:w="2700"/>
          </w:tcPr>
          <w:p>
            <w:pPr>
              <w:spacing w:before="40" w:after="40"/>
            </w:pPr>
            <w:r>
              <w:rPr>
                <w:rFonts w:ascii="Arial" w:hAnsi="Arial"/>
                <w:sz w:val="20"/>
              </w:rPr>
              <w:t>13,133</w:t>
            </w:r>
          </w:p>
        </w:tc>
      </w:tr>
    </w:tbl>
    <w:p>
      <w:pPr>
        <w:keepNext/>
        <w:spacing w:before="280" w:after="80"/>
      </w:pPr>
      <w:r>
        <w:rPr>
          <w:rFonts w:ascii="Arial" w:hAnsi="Arial"/>
          <w:b/>
          <w:color w:val="000000"/>
          <w:sz w:val="32"/>
        </w:rPr>
        <w:t>3. Schema Enforcement, Type Casting &amp; Metadata Integration</w:t>
      </w:r>
    </w:p>
    <w:p>
      <w:pPr>
        <w:spacing w:before="0" w:after="80" w:line="276" w:lineRule="auto"/>
      </w:pPr>
      <w:r>
        <w:rPr>
          <w:rFonts w:ascii="Arial" w:hAnsi="Arial"/>
          <w:color w:val="000000"/>
          <w:sz w:val="24"/>
        </w:rPr>
        <w:t>The pipeline strictly adheres to software engineering best practices for contract enforcement and data quality:</w:t>
      </w:r>
    </w:p>
    <w:p>
      <w:pPr>
        <w:pStyle w:val="ListBullet"/>
        <w:spacing w:before="0" w:after="40" w:line="276" w:lineRule="auto"/>
      </w:pPr>
      <w:r>
        <w:rPr>
          <w:rFonts w:ascii="Arial" w:hAnsi="Arial"/>
          <w:b/>
          <w:color w:val="000000"/>
          <w:sz w:val="24"/>
        </w:rPr>
        <w:t xml:space="preserve">Strict Schema-on-Read: </w:t>
      </w:r>
      <w:r>
        <w:rPr>
          <w:rFonts w:ascii="Arial" w:hAnsi="Arial"/>
          <w:color w:val="000000"/>
          <w:sz w:val="24"/>
        </w:rPr>
        <w:t>Spark's inferSchema is strictly forbidden. All raw ingestion scripts explicitly define their schema contracts using PySpark's StructType and StructField APIs, guaranteeing deterministic types and preventing silent type mutations.</w:t>
      </w:r>
    </w:p>
    <w:p>
      <w:pPr>
        <w:pStyle w:val="ListBullet"/>
        <w:spacing w:before="0" w:after="40" w:line="276" w:lineRule="auto"/>
      </w:pPr>
      <w:r>
        <w:rPr>
          <w:rFonts w:ascii="Arial" w:hAnsi="Arial"/>
          <w:b/>
          <w:color w:val="000000"/>
          <w:sz w:val="24"/>
        </w:rPr>
        <w:t xml:space="preserve">Data Typing and Casting: </w:t>
      </w:r>
      <w:r>
        <w:rPr>
          <w:rFonts w:ascii="Arial" w:hAnsi="Arial"/>
          <w:color w:val="000000"/>
          <w:sz w:val="24"/>
        </w:rPr>
        <w:t>Data types are rigorously enforced during Silver transitions. Coordinate strings in World Port Index data formatted in Degrees Minutes Seconds (e.g., 30°20'00"N) are parsed into decimal degrees using custom regex parsing handling escaped quotes. Timestamps are normalized to UTC, and string numbers are safely cast to doubles and integers.</w:t>
      </w:r>
    </w:p>
    <w:p>
      <w:pPr>
        <w:pStyle w:val="ListBullet"/>
        <w:spacing w:before="0" w:after="40" w:line="276" w:lineRule="auto"/>
      </w:pPr>
      <w:r>
        <w:rPr>
          <w:rFonts w:ascii="Arial" w:hAnsi="Arial"/>
          <w:b/>
          <w:color w:val="000000"/>
          <w:sz w:val="24"/>
        </w:rPr>
        <w:t xml:space="preserve">Universal Metadata Integration: </w:t>
      </w:r>
      <w:r>
        <w:rPr>
          <w:rFonts w:ascii="Arial" w:hAnsi="Arial"/>
          <w:color w:val="000000"/>
          <w:sz w:val="24"/>
        </w:rPr>
        <w:t>Every table across both Bronze and Silver includes a load_timestamp column recording the exact UTC timestamp of ingestion or processing.</w:t>
      </w:r>
    </w:p>
    <w:p>
      <w:pPr>
        <w:pStyle w:val="ListBullet"/>
        <w:spacing w:before="0" w:after="40" w:line="276" w:lineRule="auto"/>
      </w:pPr>
      <w:r>
        <w:rPr>
          <w:rFonts w:ascii="Arial" w:hAnsi="Arial"/>
          <w:b/>
          <w:color w:val="000000"/>
          <w:sz w:val="24"/>
        </w:rPr>
        <w:t xml:space="preserve">Fault Tolerance &amp; Quarantine: </w:t>
      </w:r>
      <w:r>
        <w:rPr>
          <w:rFonts w:ascii="Arial" w:hAnsi="Arial"/>
          <w:color w:val="000000"/>
          <w:sz w:val="24"/>
        </w:rPr>
        <w:t>Raw records lacking mandatory primary keys (such as MMSI or BaseDateTime) or containing corrupt JSON payloads are isolated into workspace.bronze.quarantine with a generated UUID, source identifier, and detailed error description rather than causing batch crashes.</w:t>
      </w:r>
    </w:p>
    <w:p>
      <w:pPr>
        <w:keepNext/>
        <w:spacing w:before="280" w:after="80"/>
      </w:pPr>
      <w:r>
        <w:rPr>
          <w:rFonts w:ascii="Arial" w:hAnsi="Arial"/>
          <w:b/>
          <w:color w:val="000000"/>
          <w:sz w:val="32"/>
        </w:rPr>
        <w:t>4. Pipeline Robustness &amp; Idempotency</w:t>
      </w:r>
    </w:p>
    <w:p>
      <w:pPr>
        <w:spacing w:before="0" w:after="80" w:line="276" w:lineRule="auto"/>
      </w:pPr>
      <w:r>
        <w:rPr>
          <w:rFonts w:ascii="Arial" w:hAnsi="Arial"/>
          <w:color w:val="000000"/>
          <w:sz w:val="24"/>
        </w:rPr>
        <w:t>A cornerstone of enterprise data pipelines is idempotency: executing the pipeline multiple times over the exact same raw data must produce identical results with zero duplicate records.</w:t>
      </w:r>
    </w:p>
    <w:p>
      <w:pPr>
        <w:spacing w:before="0" w:after="80" w:line="276" w:lineRule="auto"/>
      </w:pPr>
      <w:r>
        <w:rPr>
          <w:rFonts w:ascii="Arial" w:hAnsi="Arial"/>
          <w:color w:val="000000"/>
          <w:sz w:val="24"/>
        </w:rPr>
        <w:t>To enforce this, all Silver tables use the Delta Lake MERGE INTO pattern:</w:t>
      </w:r>
    </w:p>
    <w:p>
      <w:pPr>
        <w:pStyle w:val="ListBullet"/>
        <w:spacing w:before="0" w:after="40" w:line="276" w:lineRule="auto"/>
      </w:pPr>
      <w:r>
        <w:rPr>
          <w:rFonts w:ascii="Arial" w:hAnsi="Arial"/>
          <w:b/>
          <w:color w:val="000000"/>
          <w:sz w:val="24"/>
        </w:rPr>
        <w:t xml:space="preserve">dim_vessel: </w:t>
      </w:r>
      <w:r>
        <w:rPr>
          <w:rFonts w:ascii="Arial" w:hAnsi="Arial"/>
          <w:color w:val="000000"/>
          <w:sz w:val="24"/>
        </w:rPr>
        <w:t>Merged on mmsi. Latest static vessel metadata (name, call sign, dimensions) updates existing records; new vessels are inserted.</w:t>
      </w:r>
    </w:p>
    <w:p>
      <w:pPr>
        <w:pStyle w:val="ListBullet"/>
        <w:spacing w:before="0" w:after="40" w:line="276" w:lineRule="auto"/>
      </w:pPr>
      <w:r>
        <w:rPr>
          <w:rFonts w:ascii="Arial" w:hAnsi="Arial"/>
          <w:b/>
          <w:color w:val="000000"/>
          <w:sz w:val="24"/>
        </w:rPr>
        <w:t xml:space="preserve">dim_port: </w:t>
      </w:r>
      <w:r>
        <w:rPr>
          <w:rFonts w:ascii="Arial" w:hAnsi="Arial"/>
          <w:color w:val="000000"/>
          <w:sz w:val="24"/>
        </w:rPr>
        <w:t>Merged on port_code. Overlapping UN/LOCODE entries are deduplicated using window rank ordered by port_number.</w:t>
      </w:r>
    </w:p>
    <w:p>
      <w:pPr>
        <w:pStyle w:val="ListBullet"/>
        <w:spacing w:before="0" w:after="40" w:line="276" w:lineRule="auto"/>
      </w:pPr>
      <w:r>
        <w:rPr>
          <w:rFonts w:ascii="Arial" w:hAnsi="Arial"/>
          <w:b/>
          <w:color w:val="000000"/>
          <w:sz w:val="24"/>
        </w:rPr>
        <w:t xml:space="preserve">fact_vessel_position: </w:t>
      </w:r>
      <w:r>
        <w:rPr>
          <w:rFonts w:ascii="Arial" w:hAnsi="Arial"/>
          <w:color w:val="000000"/>
          <w:sz w:val="24"/>
        </w:rPr>
        <w:t>Merged on the composite primary key (mmsi, timestamp). High-frequency telemetry updates match existing pings and insert new ones without duplication.</w:t>
      </w:r>
    </w:p>
    <w:p>
      <w:pPr>
        <w:pStyle w:val="ListBullet"/>
        <w:spacing w:before="0" w:after="40" w:line="276" w:lineRule="auto"/>
      </w:pPr>
      <w:r>
        <w:rPr>
          <w:rFonts w:ascii="Arial" w:hAnsi="Arial"/>
          <w:b/>
          <w:color w:val="000000"/>
          <w:sz w:val="24"/>
        </w:rPr>
        <w:t xml:space="preserve">dim_voyage: </w:t>
      </w:r>
      <w:r>
        <w:rPr>
          <w:rFonts w:ascii="Arial" w:hAnsi="Arial"/>
          <w:color w:val="000000"/>
          <w:sz w:val="24"/>
        </w:rPr>
        <w:t>Merged on voyage_id (composed of MMSI and departure timestamp). Voyages are derived using state-machine window functions detecting status transitions and speed thresholds (&lt; 0.5 knots).</w:t>
      </w:r>
    </w:p>
    <w:p>
      <w:pPr>
        <w:keepNext/>
        <w:spacing w:before="280" w:after="80"/>
      </w:pPr>
      <w:r>
        <w:rPr>
          <w:rFonts w:ascii="Arial" w:hAnsi="Arial"/>
          <w:b/>
          <w:color w:val="000000"/>
          <w:sz w:val="32"/>
        </w:rPr>
        <w:t>5. Parameterized Execution &amp; Historical Backfills</w:t>
      </w:r>
    </w:p>
    <w:p>
      <w:pPr>
        <w:spacing w:before="0" w:after="80" w:line="276" w:lineRule="auto"/>
      </w:pPr>
      <w:r>
        <w:rPr>
          <w:rFonts w:ascii="Arial" w:hAnsi="Arial"/>
          <w:color w:val="000000"/>
          <w:sz w:val="24"/>
        </w:rPr>
        <w:t>The pipeline architecture avoids rigid hardcoded file paths. Each ingestion notebook utilizes Databricks Widgets (source_path and batch_id) to enable dynamic parameterization directly from the notebook UI, scheduled Databricks Jobs, or REST APIs.</w:t>
      </w:r>
    </w:p>
    <w:p>
      <w:pPr>
        <w:keepNext/>
        <w:spacing w:before="200" w:after="40"/>
      </w:pPr>
      <w:r>
        <w:rPr>
          <w:rFonts w:ascii="Arial" w:hAnsi="Arial"/>
          <w:b/>
          <w:color w:val="000000"/>
          <w:sz w:val="28"/>
        </w:rPr>
        <w:t>5.1 Standard Incremental Execution</w:t>
      </w:r>
    </w:p>
    <w:p>
      <w:pPr>
        <w:spacing w:before="0" w:after="80" w:line="276" w:lineRule="auto"/>
      </w:pPr>
      <w:r>
        <w:rPr>
          <w:rFonts w:ascii="Arial" w:hAnsi="Arial"/>
          <w:color w:val="000000"/>
          <w:sz w:val="24"/>
        </w:rPr>
        <w:t>In normal scheduled operations, 02_bronze_aisstream_incremental processes the latest daily JSON file produced by the local WebSocket collector. The default parameter points to the active daily file (e.g., /Volumes/workspace/bronze/raw_data/ais_daily_20261003.json), and the system automatically generates a timestamped batch identifier.</w:t>
      </w:r>
    </w:p>
    <w:p>
      <w:pPr>
        <w:keepNext/>
        <w:spacing w:before="200" w:after="40"/>
      </w:pPr>
      <w:r>
        <w:rPr>
          <w:rFonts w:ascii="Arial" w:hAnsi="Arial"/>
          <w:b/>
          <w:color w:val="000000"/>
          <w:sz w:val="28"/>
        </w:rPr>
        <w:t>5.2 Historical Backfill Execution</w:t>
      </w:r>
    </w:p>
    <w:p>
      <w:pPr>
        <w:spacing w:before="0" w:after="80" w:line="276" w:lineRule="auto"/>
      </w:pPr>
      <w:r>
        <w:rPr>
          <w:rFonts w:ascii="Arial" w:hAnsi="Arial"/>
          <w:color w:val="000000"/>
          <w:sz w:val="24"/>
        </w:rPr>
        <w:t>To backfill or reprocess historical time periods:</w:t>
      </w:r>
    </w:p>
    <w:p>
      <w:pPr>
        <w:pStyle w:val="ListBullet"/>
        <w:spacing w:before="0" w:after="40" w:line="276" w:lineRule="auto"/>
      </w:pPr>
      <w:r>
        <w:rPr>
          <w:rFonts w:ascii="Arial" w:hAnsi="Arial"/>
          <w:b/>
          <w:color w:val="000000"/>
          <w:sz w:val="24"/>
        </w:rPr>
        <w:t xml:space="preserve">1. Set Parameter Widgets: </w:t>
      </w:r>
      <w:r>
        <w:rPr>
          <w:rFonts w:ascii="Arial" w:hAnsi="Arial"/>
          <w:color w:val="000000"/>
          <w:sz w:val="24"/>
        </w:rPr>
        <w:t>Open the target ingestion notebook (01_bronze_noaa_full_load or 02_bronze_aisstream_incremental) in Databricks.</w:t>
      </w:r>
    </w:p>
    <w:p>
      <w:pPr>
        <w:pStyle w:val="ListBullet"/>
        <w:spacing w:before="0" w:after="40" w:line="276" w:lineRule="auto"/>
      </w:pPr>
      <w:r>
        <w:rPr>
          <w:rFonts w:ascii="Arial" w:hAnsi="Arial"/>
          <w:b/>
          <w:color w:val="000000"/>
          <w:sz w:val="24"/>
        </w:rPr>
        <w:t xml:space="preserve">2. Configure File Path: </w:t>
      </w:r>
      <w:r>
        <w:rPr>
          <w:rFonts w:ascii="Arial" w:hAnsi="Arial"/>
          <w:color w:val="000000"/>
          <w:sz w:val="24"/>
        </w:rPr>
        <w:t>In the widget bar at the top of the notebook, update source_path to point to the historical file (e.g., /Volumes/workspace/bronze/raw_data/historical_batch_20251219.csv) and provide a descriptive batch_id (e.g., backfill_20251219).</w:t>
      </w:r>
    </w:p>
    <w:p>
      <w:pPr>
        <w:pStyle w:val="ListBullet"/>
        <w:spacing w:before="0" w:after="40" w:line="276" w:lineRule="auto"/>
      </w:pPr>
      <w:r>
        <w:rPr>
          <w:rFonts w:ascii="Arial" w:hAnsi="Arial"/>
          <w:b/>
          <w:color w:val="000000"/>
          <w:sz w:val="24"/>
        </w:rPr>
        <w:t xml:space="preserve">3. Execute Ingestion: </w:t>
      </w:r>
      <w:r>
        <w:rPr>
          <w:rFonts w:ascii="Arial" w:hAnsi="Arial"/>
          <w:color w:val="000000"/>
          <w:sz w:val="24"/>
        </w:rPr>
        <w:t>Execute the notebook. The raw data is ingested into Bronze.</w:t>
      </w:r>
    </w:p>
    <w:p>
      <w:pPr>
        <w:pStyle w:val="ListBullet"/>
        <w:spacing w:before="0" w:after="40" w:line="276" w:lineRule="auto"/>
      </w:pPr>
      <w:r>
        <w:rPr>
          <w:rFonts w:ascii="Arial" w:hAnsi="Arial"/>
          <w:b/>
          <w:color w:val="000000"/>
          <w:sz w:val="24"/>
        </w:rPr>
        <w:t xml:space="preserve">4. Execute Transformations: </w:t>
      </w:r>
      <w:r>
        <w:rPr>
          <w:rFonts w:ascii="Arial" w:hAnsi="Arial"/>
          <w:color w:val="000000"/>
          <w:sz w:val="24"/>
        </w:rPr>
        <w:t>Run the downstream Silver notebooks (04, 05, 06, 07). Because all Silver tables execute MERGE INTO, records matching existing primary keys are cleanly updated while new records are inserted, guaranteeing zero duplicate rows.</w:t>
      </w:r>
    </w:p>
    <w:p>
      <w:pPr>
        <w:keepNext/>
        <w:spacing w:before="280" w:after="80"/>
      </w:pPr>
      <w:r>
        <w:rPr>
          <w:rFonts w:ascii="Arial" w:hAnsi="Arial"/>
          <w:b/>
          <w:color w:val="000000"/>
          <w:sz w:val="32"/>
        </w:rPr>
        <w:t>6. Pipeline Observability &amp; Audit Logging</w:t>
      </w:r>
    </w:p>
    <w:p>
      <w:pPr>
        <w:spacing w:before="0" w:after="80" w:line="276" w:lineRule="auto"/>
      </w:pPr>
      <w:r>
        <w:rPr>
          <w:rFonts w:ascii="Arial" w:hAnsi="Arial"/>
          <w:color w:val="000000"/>
          <w:sz w:val="24"/>
        </w:rPr>
        <w:t>Operational monitoring is handled through a centralized logging table: workspace.maritime_ops.pipeline_execution_logs. Each notebook wraps its execution inside a PipelineLogger context manager that automatically captures runtime metadata.</w:t>
      </w:r>
    </w:p>
    <w:p>
      <w:pPr>
        <w:spacing w:before="0" w:after="80" w:line="276" w:lineRule="auto"/>
      </w:pPr>
      <w:r>
        <w:rPr>
          <w:rFonts w:ascii="Arial" w:hAnsi="Arial"/>
          <w:color w:val="000000"/>
          <w:sz w:val="24"/>
        </w:rPr>
        <w:t>Log entries capture: run_id (UUID), layer name, parameter/batch identifier, status (Success/Failure), start_time, end_time, duration in seconds, rows_inserted, rows_updated, and error message details.</w:t>
      </w:r>
    </w:p>
    <w:p>
      <w:pPr>
        <w:keepNext/>
        <w:spacing w:before="200" w:after="40"/>
      </w:pPr>
      <w:r>
        <w:rPr>
          <w:rFonts w:ascii="Arial" w:hAnsi="Arial"/>
          <w:b/>
          <w:color w:val="000000"/>
          <w:sz w:val="28"/>
        </w:rPr>
        <w:t>6.1 Production Run Metrics</w:t>
      </w:r>
    </w:p>
    <w:p>
      <w:pPr>
        <w:spacing w:before="0" w:after="80" w:line="276" w:lineRule="auto"/>
      </w:pPr>
      <w:r>
        <w:rPr>
          <w:rFonts w:ascii="Arial" w:hAnsi="Arial"/>
          <w:color w:val="000000"/>
          <w:sz w:val="24"/>
        </w:rPr>
        <w:t>The end-to-end pipeline was executed on Databricks Serverless Compute across all layers. The recorded execution metrics are summarized below:</w:t>
      </w:r>
    </w:p>
    <w:tbl>
      <w:tblPr>
        <w:tblW w:type="auto" w:w="0"/>
        <w:tblLook w:firstColumn="1" w:firstRow="1" w:lastColumn="0" w:lastRow="0" w:noHBand="0" w:noVBand="1" w:val="04A0"/>
        <w:tblBorders>
          <w:top w:val="single" w:sz="4" w:space="0" w:color="000000"/>
          <w:bottom w:val="single" w:sz="4" w:space="0" w:color="000000"/>
          <w:insideH w:val="single" w:sz="4" w:space="0" w:color="000000"/>
          <w:left w:val="none"/>
          <w:right w:val="none"/>
          <w:insideV w:val="none"/>
        </w:tblBorders>
      </w:tblPr>
      <w:tblGrid>
        <w:gridCol w:w="1800"/>
        <w:gridCol w:w="1800"/>
        <w:gridCol w:w="1800"/>
        <w:gridCol w:w="1800"/>
        <w:gridCol w:w="1800"/>
        <w:gridCol w:w="1800"/>
      </w:tblGrid>
      <w:tr>
        <w:tc>
          <w:tcPr>
            <w:tcW w:type="dxa" w:w="1800"/>
          </w:tcPr>
          <w:p>
            <w:pPr>
              <w:spacing w:before="40" w:after="40"/>
            </w:pPr>
            <w:r>
              <w:rPr>
                <w:rFonts w:ascii="Arial" w:hAnsi="Arial"/>
                <w:b/>
                <w:sz w:val="22"/>
              </w:rPr>
              <w:t>Layer</w:t>
            </w:r>
          </w:p>
        </w:tc>
        <w:tc>
          <w:tcPr>
            <w:tcW w:type="dxa" w:w="1800"/>
          </w:tcPr>
          <w:p>
            <w:pPr>
              <w:spacing w:before="40" w:after="40"/>
            </w:pPr>
            <w:r>
              <w:rPr>
                <w:rFonts w:ascii="Arial" w:hAnsi="Arial"/>
                <w:b/>
                <w:sz w:val="22"/>
              </w:rPr>
              <w:t>Parameter / Notebook</w:t>
            </w:r>
          </w:p>
        </w:tc>
        <w:tc>
          <w:tcPr>
            <w:tcW w:type="dxa" w:w="1800"/>
          </w:tcPr>
          <w:p>
            <w:pPr>
              <w:spacing w:before="40" w:after="40"/>
            </w:pPr>
            <w:r>
              <w:rPr>
                <w:rFonts w:ascii="Arial" w:hAnsi="Arial"/>
                <w:b/>
                <w:sz w:val="22"/>
              </w:rPr>
              <w:t>Status</w:t>
            </w:r>
          </w:p>
        </w:tc>
        <w:tc>
          <w:tcPr>
            <w:tcW w:type="dxa" w:w="1800"/>
          </w:tcPr>
          <w:p>
            <w:pPr>
              <w:spacing w:before="40" w:after="40"/>
            </w:pPr>
            <w:r>
              <w:rPr>
                <w:rFonts w:ascii="Arial" w:hAnsi="Arial"/>
                <w:b/>
                <w:sz w:val="22"/>
              </w:rPr>
              <w:t>Rows Inserted</w:t>
            </w:r>
          </w:p>
        </w:tc>
        <w:tc>
          <w:tcPr>
            <w:tcW w:type="dxa" w:w="1800"/>
          </w:tcPr>
          <w:p>
            <w:pPr>
              <w:spacing w:before="40" w:after="40"/>
            </w:pPr>
            <w:r>
              <w:rPr>
                <w:rFonts w:ascii="Arial" w:hAnsi="Arial"/>
                <w:b/>
                <w:sz w:val="22"/>
              </w:rPr>
              <w:t>Rows Updated</w:t>
            </w:r>
          </w:p>
        </w:tc>
        <w:tc>
          <w:tcPr>
            <w:tcW w:type="dxa" w:w="1800"/>
          </w:tcPr>
          <w:p>
            <w:pPr>
              <w:spacing w:before="40" w:after="40"/>
            </w:pPr>
            <w:r>
              <w:rPr>
                <w:rFonts w:ascii="Arial" w:hAnsi="Arial"/>
                <w:b/>
                <w:sz w:val="22"/>
              </w:rPr>
              <w:t>Table</w:t>
            </w:r>
          </w:p>
        </w:tc>
      </w:tr>
      <w:tr>
        <w:tc>
          <w:tcPr>
            <w:tcW w:type="dxa" w:w="1800"/>
          </w:tcPr>
          <w:p>
            <w:pPr>
              <w:spacing w:before="40" w:after="40"/>
            </w:pPr>
            <w:r>
              <w:rPr>
                <w:rFonts w:ascii="Arial" w:hAnsi="Arial"/>
                <w:sz w:val="20"/>
              </w:rPr>
              <w:t>setup</w:t>
            </w:r>
          </w:p>
        </w:tc>
        <w:tc>
          <w:tcPr>
            <w:tcW w:type="dxa" w:w="1800"/>
          </w:tcPr>
          <w:p>
            <w:pPr>
              <w:spacing w:before="40" w:after="40"/>
            </w:pPr>
            <w:r>
              <w:rPr>
                <w:rFonts w:ascii="Arial" w:hAnsi="Arial"/>
                <w:sz w:val="20"/>
              </w:rPr>
              <w:t>schemas_quarantine</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 (Schemas)</w:t>
            </w:r>
          </w:p>
        </w:tc>
      </w:tr>
      <w:tr>
        <w:tc>
          <w:tcPr>
            <w:tcW w:type="dxa" w:w="1800"/>
          </w:tcPr>
          <w:p>
            <w:pPr>
              <w:spacing w:before="40" w:after="40"/>
            </w:pPr>
            <w:r>
              <w:rPr>
                <w:rFonts w:ascii="Arial" w:hAnsi="Arial"/>
                <w:sz w:val="20"/>
              </w:rPr>
              <w:t>bronze</w:t>
            </w:r>
          </w:p>
        </w:tc>
        <w:tc>
          <w:tcPr>
            <w:tcW w:type="dxa" w:w="1800"/>
          </w:tcPr>
          <w:p>
            <w:pPr>
              <w:spacing w:before="40" w:after="40"/>
            </w:pPr>
            <w:r>
              <w:rPr>
                <w:rFonts w:ascii="Arial" w:hAnsi="Arial"/>
                <w:sz w:val="20"/>
              </w:rPr>
              <w:t>wpi_reference</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2,951</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workspace.bronze.raw_wpi_ports</w:t>
            </w:r>
          </w:p>
        </w:tc>
      </w:tr>
      <w:tr>
        <w:tc>
          <w:tcPr>
            <w:tcW w:type="dxa" w:w="1800"/>
          </w:tcPr>
          <w:p>
            <w:pPr>
              <w:spacing w:before="40" w:after="40"/>
            </w:pPr>
            <w:r>
              <w:rPr>
                <w:rFonts w:ascii="Arial" w:hAnsi="Arial"/>
                <w:sz w:val="20"/>
              </w:rPr>
              <w:t>silver</w:t>
            </w:r>
          </w:p>
        </w:tc>
        <w:tc>
          <w:tcPr>
            <w:tcW w:type="dxa" w:w="1800"/>
          </w:tcPr>
          <w:p>
            <w:pPr>
              <w:spacing w:before="40" w:after="40"/>
            </w:pPr>
            <w:r>
              <w:rPr>
                <w:rFonts w:ascii="Arial" w:hAnsi="Arial"/>
                <w:sz w:val="20"/>
              </w:rPr>
              <w:t>dim_port</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2,938</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workspace.silver.dim_port</w:t>
            </w:r>
          </w:p>
        </w:tc>
      </w:tr>
      <w:tr>
        <w:tc>
          <w:tcPr>
            <w:tcW w:type="dxa" w:w="1800"/>
          </w:tcPr>
          <w:p>
            <w:pPr>
              <w:spacing w:before="40" w:after="40"/>
            </w:pPr>
            <w:r>
              <w:rPr>
                <w:rFonts w:ascii="Arial" w:hAnsi="Arial"/>
                <w:sz w:val="20"/>
              </w:rPr>
              <w:t>bronze</w:t>
            </w:r>
          </w:p>
        </w:tc>
        <w:tc>
          <w:tcPr>
            <w:tcW w:type="dxa" w:w="1800"/>
          </w:tcPr>
          <w:p>
            <w:pPr>
              <w:spacing w:before="40" w:after="40"/>
            </w:pPr>
            <w:r>
              <w:rPr>
                <w:rFonts w:ascii="Arial" w:hAnsi="Arial"/>
                <w:sz w:val="20"/>
              </w:rPr>
              <w:t>noaa_full_load</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2,003,012</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workspace.bronze.raw_noaa_ais</w:t>
            </w:r>
          </w:p>
        </w:tc>
      </w:tr>
      <w:tr>
        <w:tc>
          <w:tcPr>
            <w:tcW w:type="dxa" w:w="1800"/>
          </w:tcPr>
          <w:p>
            <w:pPr>
              <w:spacing w:before="40" w:after="40"/>
            </w:pPr>
            <w:r>
              <w:rPr>
                <w:rFonts w:ascii="Arial" w:hAnsi="Arial"/>
                <w:sz w:val="20"/>
              </w:rPr>
              <w:t>bronze</w:t>
            </w:r>
          </w:p>
        </w:tc>
        <w:tc>
          <w:tcPr>
            <w:tcW w:type="dxa" w:w="1800"/>
          </w:tcPr>
          <w:p>
            <w:pPr>
              <w:spacing w:before="40" w:after="40"/>
            </w:pPr>
            <w:r>
              <w:rPr>
                <w:rFonts w:ascii="Arial" w:hAnsi="Arial"/>
                <w:sz w:val="20"/>
              </w:rPr>
              <w:t>aisstream_incremental</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1,870</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workspace.bronze.raw_aisstream_incremental</w:t>
            </w:r>
          </w:p>
        </w:tc>
      </w:tr>
      <w:tr>
        <w:tc>
          <w:tcPr>
            <w:tcW w:type="dxa" w:w="1800"/>
          </w:tcPr>
          <w:p>
            <w:pPr>
              <w:spacing w:before="40" w:after="40"/>
            </w:pPr>
            <w:r>
              <w:rPr>
                <w:rFonts w:ascii="Arial" w:hAnsi="Arial"/>
                <w:sz w:val="20"/>
              </w:rPr>
              <w:t>silver</w:t>
            </w:r>
          </w:p>
        </w:tc>
        <w:tc>
          <w:tcPr>
            <w:tcW w:type="dxa" w:w="1800"/>
          </w:tcPr>
          <w:p>
            <w:pPr>
              <w:spacing w:before="40" w:after="40"/>
            </w:pPr>
            <w:r>
              <w:rPr>
                <w:rFonts w:ascii="Arial" w:hAnsi="Arial"/>
                <w:sz w:val="20"/>
              </w:rPr>
              <w:t>dim_vessel</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2,320</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workspace.silver.dim_vessel</w:t>
            </w:r>
          </w:p>
        </w:tc>
      </w:tr>
      <w:tr>
        <w:tc>
          <w:tcPr>
            <w:tcW w:type="dxa" w:w="1800"/>
          </w:tcPr>
          <w:p>
            <w:pPr>
              <w:spacing w:before="40" w:after="40"/>
            </w:pPr>
            <w:r>
              <w:rPr>
                <w:rFonts w:ascii="Arial" w:hAnsi="Arial"/>
                <w:sz w:val="20"/>
              </w:rPr>
              <w:t>silver</w:t>
            </w:r>
          </w:p>
        </w:tc>
        <w:tc>
          <w:tcPr>
            <w:tcW w:type="dxa" w:w="1800"/>
          </w:tcPr>
          <w:p>
            <w:pPr>
              <w:spacing w:before="40" w:after="40"/>
            </w:pPr>
            <w:r>
              <w:rPr>
                <w:rFonts w:ascii="Arial" w:hAnsi="Arial"/>
                <w:sz w:val="20"/>
              </w:rPr>
              <w:t>fact_vessel_position</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1,979,953</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workspace.silver.fact_vessel_position</w:t>
            </w:r>
          </w:p>
        </w:tc>
      </w:tr>
      <w:tr>
        <w:tc>
          <w:tcPr>
            <w:tcW w:type="dxa" w:w="1800"/>
          </w:tcPr>
          <w:p>
            <w:pPr>
              <w:spacing w:before="40" w:after="40"/>
            </w:pPr>
            <w:r>
              <w:rPr>
                <w:rFonts w:ascii="Arial" w:hAnsi="Arial"/>
                <w:sz w:val="20"/>
              </w:rPr>
              <w:t>silver</w:t>
            </w:r>
          </w:p>
        </w:tc>
        <w:tc>
          <w:tcPr>
            <w:tcW w:type="dxa" w:w="1800"/>
          </w:tcPr>
          <w:p>
            <w:pPr>
              <w:spacing w:before="40" w:after="40"/>
            </w:pPr>
            <w:r>
              <w:rPr>
                <w:rFonts w:ascii="Arial" w:hAnsi="Arial"/>
                <w:sz w:val="20"/>
              </w:rPr>
              <w:t>dim_voyage</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10,305</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workspace.silver.dim_voyage</w:t>
            </w:r>
          </w:p>
        </w:tc>
      </w:tr>
      <w:tr>
        <w:tc>
          <w:tcPr>
            <w:tcW w:type="dxa" w:w="1800"/>
          </w:tcPr>
          <w:p>
            <w:pPr>
              <w:spacing w:before="40" w:after="40"/>
            </w:pPr>
            <w:r>
              <w:rPr>
                <w:rFonts w:ascii="Arial" w:hAnsi="Arial"/>
                <w:sz w:val="20"/>
              </w:rPr>
              <w:t>gold</w:t>
            </w:r>
          </w:p>
        </w:tc>
        <w:tc>
          <w:tcPr>
            <w:tcW w:type="dxa" w:w="1800"/>
          </w:tcPr>
          <w:p>
            <w:pPr>
              <w:spacing w:before="40" w:after="40"/>
            </w:pPr>
            <w:r>
              <w:rPr>
                <w:rFonts w:ascii="Arial" w:hAnsi="Arial"/>
                <w:sz w:val="20"/>
              </w:rPr>
              <w:t>aggregations</w:t>
            </w:r>
          </w:p>
        </w:tc>
        <w:tc>
          <w:tcPr>
            <w:tcW w:type="dxa" w:w="1800"/>
          </w:tcPr>
          <w:p>
            <w:pPr>
              <w:spacing w:before="40" w:after="40"/>
            </w:pPr>
            <w:r>
              <w:rPr>
                <w:rFonts w:ascii="Arial" w:hAnsi="Arial"/>
                <w:sz w:val="20"/>
              </w:rPr>
              <w:t>Success</w:t>
            </w:r>
          </w:p>
        </w:tc>
        <w:tc>
          <w:tcPr>
            <w:tcW w:type="dxa" w:w="1800"/>
          </w:tcPr>
          <w:p>
            <w:pPr>
              <w:spacing w:before="40" w:after="40"/>
            </w:pPr>
            <w:r>
              <w:rPr>
                <w:rFonts w:ascii="Arial" w:hAnsi="Arial"/>
                <w:sz w:val="20"/>
              </w:rPr>
              <w:t>26,390</w:t>
            </w:r>
          </w:p>
        </w:tc>
        <w:tc>
          <w:tcPr>
            <w:tcW w:type="dxa" w:w="1800"/>
          </w:tcPr>
          <w:p>
            <w:pPr>
              <w:spacing w:before="40" w:after="40"/>
            </w:pPr>
            <w:r>
              <w:rPr>
                <w:rFonts w:ascii="Arial" w:hAnsi="Arial"/>
                <w:sz w:val="20"/>
              </w:rPr>
              <w:t>0</w:t>
            </w:r>
          </w:p>
        </w:tc>
        <w:tc>
          <w:tcPr>
            <w:tcW w:type="dxa" w:w="1800"/>
          </w:tcPr>
          <w:p>
            <w:pPr>
              <w:spacing w:before="40" w:after="40"/>
            </w:pPr>
            <w:r>
              <w:rPr>
                <w:rFonts w:ascii="Arial" w:hAnsi="Arial"/>
                <w:sz w:val="20"/>
              </w:rPr>
              <w:t>workspace.gold.* (All 3 Marts)</w:t>
            </w:r>
          </w:p>
        </w:tc>
      </w:tr>
    </w:tbl>
    <w:p>
      <w:pPr>
        <w:keepNext/>
        <w:spacing w:before="200" w:after="40"/>
      </w:pPr>
      <w:r>
        <w:rPr>
          <w:rFonts w:ascii="Arial" w:hAnsi="Arial"/>
          <w:b/>
          <w:color w:val="000000"/>
          <w:sz w:val="28"/>
        </w:rPr>
        <w:t>6.2 Data Quality &amp; Domain Findings</w:t>
      </w:r>
    </w:p>
    <w:p>
      <w:pPr>
        <w:spacing w:before="0" w:after="80" w:line="276" w:lineRule="auto"/>
      </w:pPr>
      <w:r>
        <w:rPr>
          <w:rFonts w:ascii="Arial" w:hAnsi="Arial"/>
          <w:color w:val="000000"/>
          <w:sz w:val="24"/>
        </w:rPr>
        <w:t>A navigational status profile of the 1,979,953 positional records in fact_vessel_position revealed critical operational characteristics of the Gulf of Mexico shipping corridor:</w:t>
      </w:r>
    </w:p>
    <w:p>
      <w:pPr>
        <w:pStyle w:val="ListBullet"/>
        <w:spacing w:before="0" w:after="40" w:line="276" w:lineRule="auto"/>
      </w:pPr>
      <w:r>
        <w:rPr>
          <w:rFonts w:ascii="Arial" w:hAnsi="Arial"/>
          <w:b/>
          <w:color w:val="000000"/>
          <w:sz w:val="24"/>
        </w:rPr>
        <w:t xml:space="preserve">Status 1 (At Anchor): </w:t>
      </w:r>
      <w:r>
        <w:rPr>
          <w:rFonts w:ascii="Arial" w:hAnsi="Arial"/>
          <w:color w:val="000000"/>
          <w:sz w:val="24"/>
        </w:rPr>
        <w:t>54.21% (1,073,424 records) — Reflects significant vessel dwell times at anchorage in the Galveston Bay roadstead awaiting terminal berths in the Houston Ship Channel.</w:t>
      </w:r>
    </w:p>
    <w:p>
      <w:pPr>
        <w:pStyle w:val="ListBullet"/>
        <w:spacing w:before="0" w:after="40" w:line="276" w:lineRule="auto"/>
      </w:pPr>
      <w:r>
        <w:rPr>
          <w:rFonts w:ascii="Arial" w:hAnsi="Arial"/>
          <w:b/>
          <w:color w:val="000000"/>
          <w:sz w:val="24"/>
        </w:rPr>
        <w:t xml:space="preserve">Status 0 (Under Way): </w:t>
      </w:r>
      <w:r>
        <w:rPr>
          <w:rFonts w:ascii="Arial" w:hAnsi="Arial"/>
          <w:color w:val="000000"/>
          <w:sz w:val="24"/>
        </w:rPr>
        <w:t>33.10% (655,367 records) — Active transit through Gulf commercial shipping lanes.</w:t>
      </w:r>
    </w:p>
    <w:p>
      <w:pPr>
        <w:pStyle w:val="ListBullet"/>
        <w:spacing w:before="0" w:after="40" w:line="276" w:lineRule="auto"/>
      </w:pPr>
      <w:r>
        <w:rPr>
          <w:rFonts w:ascii="Arial" w:hAnsi="Arial"/>
          <w:b/>
          <w:color w:val="000000"/>
          <w:sz w:val="24"/>
        </w:rPr>
        <w:t xml:space="preserve">Status NULL (Class B): </w:t>
      </w:r>
      <w:r>
        <w:rPr>
          <w:rFonts w:ascii="Arial" w:hAnsi="Arial"/>
          <w:color w:val="000000"/>
          <w:sz w:val="24"/>
        </w:rPr>
        <w:t>4.83% (95,620 records) — Smaller commercial vessels (workboats, tugs, fishing boats) equipped with Class B transponders that do not broadcast navigational status fields per maritime AIS specifications.</w:t>
      </w:r>
    </w:p>
    <w:p>
      <w:pPr>
        <w:pStyle w:val="ListBullet"/>
        <w:spacing w:before="0" w:after="40" w:line="276" w:lineRule="auto"/>
      </w:pPr>
      <w:r>
        <w:rPr>
          <w:rFonts w:ascii="Arial" w:hAnsi="Arial"/>
          <w:b/>
          <w:color w:val="000000"/>
          <w:sz w:val="24"/>
        </w:rPr>
        <w:t xml:space="preserve">Status 3 (Restricted Manoeuvrability): </w:t>
      </w:r>
      <w:r>
        <w:rPr>
          <w:rFonts w:ascii="Arial" w:hAnsi="Arial"/>
          <w:color w:val="000000"/>
          <w:sz w:val="24"/>
        </w:rPr>
        <w:t>3.72% (73,745 records) — Vessels with tow, dredgers, or ships maneuvering in restricted navigation fairways.</w:t>
      </w:r>
    </w:p>
    <w:p>
      <w:pPr>
        <w:keepNext/>
        <w:spacing w:before="280" w:after="80"/>
      </w:pPr>
      <w:r>
        <w:rPr>
          <w:rFonts w:ascii="Arial" w:hAnsi="Arial"/>
          <w:b/>
          <w:color w:val="000000"/>
          <w:sz w:val="32"/>
        </w:rPr>
        <w:t>7. Execution Evidence &amp; Screenshots</w:t>
      </w:r>
    </w:p>
    <w:p>
      <w:pPr>
        <w:spacing w:before="0" w:after="80" w:line="276" w:lineRule="auto"/>
      </w:pPr>
      <w:r>
        <w:rPr>
          <w:rFonts w:ascii="Arial" w:hAnsi="Arial"/>
          <w:color w:val="000000"/>
          <w:sz w:val="24"/>
        </w:rPr>
        <w:t>This section contains visual verification and query execution evidence from the Databricks Lakehouse deployment.</w:t>
      </w:r>
    </w:p>
    <w:p>
      <w:pPr>
        <w:keepNext/>
        <w:spacing w:before="160" w:after="40"/>
      </w:pPr>
      <w:r>
        <w:rPr>
          <w:rFonts w:ascii="Arial" w:hAnsi="Arial"/>
          <w:b/>
          <w:color w:val="000000"/>
          <w:sz w:val="24"/>
        </w:rPr>
        <w:t>Figure: 1: Databricks Catalog Explorer</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480" w:after="480"/>
              <w:jc w:val="center"/>
            </w:pPr>
            <w:r>
              <w:rPr>
                <w:rFonts w:ascii="Arial" w:hAnsi="Arial"/>
                <w:i/>
                <w:color w:val="000000"/>
                <w:sz w:val="22"/>
              </w:rPr>
              <w:t>[ PASTE SCREENSHOT HERE: Catalog Explorer showing schemas (bronze, silver, gold, maritime_ops) and Delta tables under workspace ]</w:t>
            </w:r>
          </w:p>
        </w:tc>
      </w:tr>
    </w:tbl>
    <w:p>
      <w:pPr>
        <w:keepNext/>
        <w:spacing w:before="160" w:after="40"/>
      </w:pPr>
      <w:r>
        <w:rPr>
          <w:rFonts w:ascii="Arial" w:hAnsi="Arial"/>
          <w:b/>
          <w:color w:val="000000"/>
          <w:sz w:val="24"/>
        </w:rPr>
        <w:t>Figure: 2: Operational Audit Execution Logs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480" w:after="480"/>
              <w:jc w:val="center"/>
            </w:pPr>
            <w:r>
              <w:rPr>
                <w:rFonts w:ascii="Arial" w:hAnsi="Arial"/>
                <w:i/>
                <w:color w:val="000000"/>
                <w:sz w:val="22"/>
              </w:rPr>
              <w:t>[ PASTE SCREENSHOT HERE: SQL query results from SELECT * FROM workspace.maritime_ops.pipeline_execution_logs ORDER BY start_time DESC showing run durations, status, and row counts ]</w:t>
            </w:r>
          </w:p>
        </w:tc>
      </w:tr>
    </w:tbl>
    <w:p>
      <w:pPr>
        <w:keepNext/>
        <w:spacing w:before="160" w:after="40"/>
      </w:pPr>
      <w:r>
        <w:rPr>
          <w:rFonts w:ascii="Arial" w:hAnsi="Arial"/>
          <w:b/>
          <w:color w:val="000000"/>
          <w:sz w:val="24"/>
        </w:rPr>
        <w:t>Figure: 3: Silver Positional Fact Table Verification</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480" w:after="480"/>
              <w:jc w:val="center"/>
            </w:pPr>
            <w:r>
              <w:rPr>
                <w:rFonts w:ascii="Arial" w:hAnsi="Arial"/>
                <w:i/>
                <w:color w:val="000000"/>
                <w:sz w:val="22"/>
              </w:rPr>
              <w:t>[ PASTE SCREENSHOT HERE: SQL query results from SELECT * FROM workspace.silver.fact_vessel_position LIMIT 10 showing clean coordinates, SOG, COG, and load_timestamp ]</w:t>
            </w:r>
          </w:p>
        </w:tc>
      </w:tr>
    </w:tbl>
    <w:p>
      <w:pPr>
        <w:keepNext/>
        <w:spacing w:before="160" w:after="40"/>
      </w:pPr>
      <w:r>
        <w:rPr>
          <w:rFonts w:ascii="Arial" w:hAnsi="Arial"/>
          <w:b/>
          <w:color w:val="000000"/>
          <w:sz w:val="24"/>
        </w:rPr>
        <w:t>Figure: 4: Silver Dimension Tables Verification</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480" w:after="480"/>
              <w:jc w:val="center"/>
            </w:pPr>
            <w:r>
              <w:rPr>
                <w:rFonts w:ascii="Arial" w:hAnsi="Arial"/>
                <w:i/>
                <w:color w:val="000000"/>
                <w:sz w:val="22"/>
              </w:rPr>
              <w:t>[ PASTE SCREENSHOT HERE: SQL query results from SELECT * FROM workspace.silver.dim_vessel LIMIT 10 and SELECT * FROM workspace.silver.dim_port LIMIT 10 ]</w:t>
            </w:r>
          </w:p>
        </w:tc>
      </w:tr>
    </w:tbl>
    <w:p>
      <w:pPr>
        <w:keepNext/>
        <w:spacing w:before="160" w:after="40"/>
      </w:pPr>
      <w:r>
        <w:rPr>
          <w:rFonts w:ascii="Arial" w:hAnsi="Arial"/>
          <w:b/>
          <w:color w:val="000000"/>
          <w:sz w:val="24"/>
        </w:rPr>
        <w:t>Figure: 5: Gold Business Marts Verification</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480" w:after="480"/>
              <w:jc w:val="center"/>
            </w:pPr>
            <w:r>
              <w:rPr>
                <w:rFonts w:ascii="Arial" w:hAnsi="Arial"/>
                <w:i/>
                <w:color w:val="000000"/>
                <w:sz w:val="22"/>
              </w:rPr>
              <w:t>[ PASTE SCREENSHOT HERE: SQL query results from SELECT * FROM workspace.gold.daily_vessel_activity LIMIT 10 and SELECT * FROM workspace.gold.port_congestion_daily LIMIT 10 ]</w:t>
            </w:r>
          </w:p>
        </w:tc>
      </w:tr>
    </w:tbl>
    <w:p>
      <w:pPr>
        <w:keepNext/>
        <w:spacing w:before="160" w:after="40"/>
      </w:pPr>
      <w:r>
        <w:rPr>
          <w:rFonts w:ascii="Arial" w:hAnsi="Arial"/>
          <w:b/>
          <w:color w:val="000000"/>
          <w:sz w:val="24"/>
        </w:rPr>
        <w:t>Figure: 6: Databricks Notebook Execution Output</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480" w:after="480"/>
              <w:jc w:val="center"/>
            </w:pPr>
            <w:r>
              <w:rPr>
                <w:rFonts w:ascii="Arial" w:hAnsi="Arial"/>
                <w:i/>
                <w:color w:val="000000"/>
                <w:sz w:val="22"/>
              </w:rPr>
              <w:t>[ PASTE SCREENSHOT HERE: Notebook execution outputs showing green checkmarks and printed confirmation summaries (e.g., from 06_silver_fact_position and 08_gold_aggregations) ]</w:t>
            </w:r>
          </w:p>
        </w:tc>
      </w:tr>
    </w:tbl>
    <w:p>
      <w:pPr>
        <w:keepNext/>
        <w:spacing w:before="280" w:after="80"/>
      </w:pPr>
      <w:r>
        <w:rPr>
          <w:rFonts w:ascii="Arial" w:hAnsi="Arial"/>
          <w:b/>
          <w:color w:val="000000"/>
          <w:sz w:val="32"/>
        </w:rPr>
        <w:t>8. Instructor Feedback &amp; Compliance Summary</w:t>
      </w:r>
    </w:p>
    <w:p>
      <w:pPr>
        <w:spacing w:before="0" w:after="80" w:line="276" w:lineRule="auto"/>
      </w:pPr>
      <w:r>
        <w:rPr>
          <w:rFonts w:ascii="Arial" w:hAnsi="Arial"/>
          <w:color w:val="000000"/>
          <w:sz w:val="24"/>
        </w:rPr>
        <w:t>All five specific changes requested in the Phase 1 instructor review have been fully implemented:</w:t>
      </w:r>
    </w:p>
    <w:p>
      <w:pPr>
        <w:pStyle w:val="ListBullet"/>
        <w:spacing w:before="0" w:after="40" w:line="276" w:lineRule="auto"/>
      </w:pPr>
      <w:r>
        <w:rPr>
          <w:rFonts w:ascii="Arial" w:hAnsi="Arial"/>
          <w:b/>
          <w:color w:val="000000"/>
          <w:sz w:val="24"/>
        </w:rPr>
        <w:t xml:space="preserve">1. Region, Time Window &amp; Size: </w:t>
      </w:r>
      <w:r>
        <w:rPr>
          <w:rFonts w:ascii="Arial" w:hAnsi="Arial"/>
          <w:color w:val="000000"/>
          <w:sz w:val="24"/>
        </w:rPr>
        <w:t>Measured NOAA Zone10 file at 219 MB (~2.0M records) and AISStream at ~440 KB (1,870 records) within the Galveston/Houston Gulf of Mexico corridor.</w:t>
      </w:r>
    </w:p>
    <w:p>
      <w:pPr>
        <w:pStyle w:val="ListBullet"/>
        <w:spacing w:before="0" w:after="40" w:line="276" w:lineRule="auto"/>
      </w:pPr>
      <w:r>
        <w:rPr>
          <w:rFonts w:ascii="Arial" w:hAnsi="Arial"/>
          <w:b/>
          <w:color w:val="000000"/>
          <w:sz w:val="24"/>
        </w:rPr>
        <w:t xml:space="preserve">2. External WebSocket Collector: </w:t>
      </w:r>
      <w:r>
        <w:rPr>
          <w:rFonts w:ascii="Arial" w:hAnsi="Arial"/>
          <w:color w:val="000000"/>
          <w:sz w:val="24"/>
        </w:rPr>
        <w:t>Implemented in src/collector/aisstream_collector.py running persistently outside Databricks, writing daily batch JSON files for volume ingestion.</w:t>
      </w:r>
    </w:p>
    <w:p>
      <w:pPr>
        <w:pStyle w:val="ListBullet"/>
        <w:spacing w:before="0" w:after="40" w:line="276" w:lineRule="auto"/>
      </w:pPr>
      <w:r>
        <w:rPr>
          <w:rFonts w:ascii="Arial" w:hAnsi="Arial"/>
          <w:b/>
          <w:color w:val="000000"/>
          <w:sz w:val="24"/>
        </w:rPr>
        <w:t xml:space="preserve">3. Real Vessel Static Updates: </w:t>
      </w:r>
      <w:r>
        <w:rPr>
          <w:rFonts w:ascii="Arial" w:hAnsi="Arial"/>
          <w:color w:val="000000"/>
          <w:sz w:val="24"/>
        </w:rPr>
        <w:t>Integrated static ship reports in 04_silver_dim_vessel.py updating vessel attributes via MERGE INTO.</w:t>
      </w:r>
    </w:p>
    <w:p>
      <w:pPr>
        <w:pStyle w:val="ListBullet"/>
        <w:spacing w:before="0" w:after="40" w:line="276" w:lineRule="auto"/>
      </w:pPr>
      <w:r>
        <w:rPr>
          <w:rFonts w:ascii="Arial" w:hAnsi="Arial"/>
          <w:b/>
          <w:color w:val="000000"/>
          <w:sz w:val="24"/>
        </w:rPr>
        <w:t xml:space="preserve">4. Port Reference Data Source: </w:t>
      </w:r>
      <w:r>
        <w:rPr>
          <w:rFonts w:ascii="Arial" w:hAnsi="Arial"/>
          <w:color w:val="000000"/>
          <w:sz w:val="24"/>
        </w:rPr>
        <w:t>Integrated National Geospatial-Intelligence Agency World Port Index (WPI.csv) ingesting 2,951 reference ports and populating silver.dim_port.</w:t>
      </w:r>
    </w:p>
    <w:p>
      <w:pPr>
        <w:pStyle w:val="ListBullet"/>
        <w:spacing w:before="0" w:after="40" w:line="276" w:lineRule="auto"/>
      </w:pPr>
      <w:r>
        <w:rPr>
          <w:rFonts w:ascii="Arial" w:hAnsi="Arial"/>
          <w:b/>
          <w:color w:val="000000"/>
          <w:sz w:val="24"/>
        </w:rPr>
        <w:t xml:space="preserve">5. Star Schema &amp; Summary Separation: </w:t>
      </w:r>
      <w:r>
        <w:rPr>
          <w:rFonts w:ascii="Arial" w:hAnsi="Arial"/>
          <w:color w:val="000000"/>
          <w:sz w:val="24"/>
        </w:rPr>
        <w:t>Star schema dimensional model established in Silver (dim_vessel, dim_port, fact_vessel_position, dim_voyage), while Gold contains summary business aggregation tables only.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