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101D3" w14:textId="3AED0B5B" w:rsidR="00820A8F" w:rsidRPr="00936146" w:rsidRDefault="00820A8F">
      <w:pPr>
        <w:rPr>
          <w:sz w:val="26"/>
          <w:szCs w:val="26"/>
        </w:rPr>
      </w:pPr>
      <w:r w:rsidRPr="00936146">
        <w:rPr>
          <w:sz w:val="26"/>
          <w:szCs w:val="26"/>
        </w:rPr>
        <w:t>Dünyadaki yenilenebilir enerji kaynaklarını</w:t>
      </w:r>
      <w:r w:rsidR="00B90340">
        <w:rPr>
          <w:sz w:val="26"/>
          <w:szCs w:val="26"/>
        </w:rPr>
        <w:t>n üretimini</w:t>
      </w:r>
      <w:r w:rsidRPr="00936146">
        <w:rPr>
          <w:sz w:val="26"/>
          <w:szCs w:val="26"/>
        </w:rPr>
        <w:t xml:space="preserve"> kıtalar üzerinden inceledik. </w:t>
      </w:r>
      <w:r w:rsidR="00936146" w:rsidRPr="00936146">
        <w:rPr>
          <w:sz w:val="26"/>
          <w:szCs w:val="26"/>
        </w:rPr>
        <w:t>Sıralama ise</w:t>
      </w:r>
    </w:p>
    <w:p w14:paraId="0CFDE488" w14:textId="10777B0E" w:rsidR="00936146" w:rsidRPr="00936146" w:rsidRDefault="00936146" w:rsidP="0093614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36146">
        <w:rPr>
          <w:sz w:val="24"/>
          <w:szCs w:val="24"/>
        </w:rPr>
        <w:t>Asya</w:t>
      </w:r>
    </w:p>
    <w:p w14:paraId="2E802FB5" w14:textId="52B87DCF" w:rsidR="00936146" w:rsidRPr="00936146" w:rsidRDefault="00936146" w:rsidP="0093614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36146">
        <w:rPr>
          <w:sz w:val="24"/>
          <w:szCs w:val="24"/>
        </w:rPr>
        <w:t>Avrupa</w:t>
      </w:r>
    </w:p>
    <w:p w14:paraId="655FE59C" w14:textId="0ABF511C" w:rsidR="00936146" w:rsidRPr="00936146" w:rsidRDefault="00936146" w:rsidP="0093614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36146">
        <w:rPr>
          <w:sz w:val="24"/>
          <w:szCs w:val="24"/>
        </w:rPr>
        <w:t>Kuzey Amerika</w:t>
      </w:r>
    </w:p>
    <w:p w14:paraId="6969314D" w14:textId="689749A7" w:rsidR="00936146" w:rsidRPr="00936146" w:rsidRDefault="00936146" w:rsidP="0093614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36146">
        <w:rPr>
          <w:sz w:val="24"/>
          <w:szCs w:val="24"/>
        </w:rPr>
        <w:t>Güney Amerika</w:t>
      </w:r>
    </w:p>
    <w:p w14:paraId="443B9D3B" w14:textId="0EF18B80" w:rsidR="00936146" w:rsidRPr="00936146" w:rsidRDefault="00936146" w:rsidP="0093614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36146">
        <w:rPr>
          <w:sz w:val="24"/>
          <w:szCs w:val="24"/>
        </w:rPr>
        <w:t>Afrika</w:t>
      </w:r>
    </w:p>
    <w:p w14:paraId="6F9B0D34" w14:textId="63815C54" w:rsidR="00936146" w:rsidRPr="00936146" w:rsidRDefault="00936146" w:rsidP="00936146">
      <w:pPr>
        <w:pStyle w:val="ListeParagraf"/>
        <w:numPr>
          <w:ilvl w:val="0"/>
          <w:numId w:val="1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936146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Avustralya ve Okyanusya</w:t>
      </w:r>
    </w:p>
    <w:p w14:paraId="78C39631" w14:textId="3513FED6" w:rsidR="00936146" w:rsidRPr="00936146" w:rsidRDefault="00936146" w:rsidP="0093614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36146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Orta Doğu</w:t>
      </w:r>
    </w:p>
    <w:p w14:paraId="168C12EF" w14:textId="77777777" w:rsidR="00936146" w:rsidRPr="00936146" w:rsidRDefault="00936146" w:rsidP="00936146">
      <w:pPr>
        <w:rPr>
          <w:sz w:val="24"/>
          <w:szCs w:val="24"/>
        </w:rPr>
      </w:pPr>
    </w:p>
    <w:p w14:paraId="488C72BE" w14:textId="77777777" w:rsidR="00C16CAD" w:rsidRDefault="00C16CAD" w:rsidP="00C16CAD">
      <w:pPr>
        <w:pStyle w:val="ListeParagra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Asya</w:t>
      </w:r>
    </w:p>
    <w:p w14:paraId="6219B732" w14:textId="7DA3C32E" w:rsidR="00C16CAD" w:rsidRDefault="0061444C" w:rsidP="0061444C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Rüzgar</w:t>
      </w:r>
      <w:proofErr w:type="gramEnd"/>
      <w:r>
        <w:rPr>
          <w:sz w:val="24"/>
          <w:szCs w:val="24"/>
        </w:rPr>
        <w:t xml:space="preserve"> enerjisi </w:t>
      </w:r>
      <w:r w:rsidR="0026053D">
        <w:rPr>
          <w:sz w:val="24"/>
          <w:szCs w:val="24"/>
        </w:rPr>
        <w:t>800twh</w:t>
      </w:r>
    </w:p>
    <w:p w14:paraId="04D785B1" w14:textId="5B582CF0" w:rsidR="0061444C" w:rsidRDefault="0061444C" w:rsidP="0061444C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Güneş enerjisi </w:t>
      </w:r>
      <w:r w:rsidR="0026053D">
        <w:rPr>
          <w:sz w:val="24"/>
          <w:szCs w:val="24"/>
        </w:rPr>
        <w:t xml:space="preserve">450 </w:t>
      </w:r>
      <w:r>
        <w:rPr>
          <w:sz w:val="24"/>
          <w:szCs w:val="24"/>
        </w:rPr>
        <w:t>twh</w:t>
      </w:r>
    </w:p>
    <w:p w14:paraId="287BD40C" w14:textId="4B136631" w:rsidR="0061444C" w:rsidRDefault="0061444C" w:rsidP="0061444C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Jeotermal enerji </w:t>
      </w:r>
      <w:r w:rsidR="0026053D">
        <w:rPr>
          <w:sz w:val="24"/>
          <w:szCs w:val="24"/>
        </w:rPr>
        <w:t>30</w:t>
      </w:r>
      <w:r>
        <w:rPr>
          <w:sz w:val="24"/>
          <w:szCs w:val="24"/>
        </w:rPr>
        <w:t xml:space="preserve"> twh</w:t>
      </w:r>
    </w:p>
    <w:p w14:paraId="09A52814" w14:textId="7E988FA2" w:rsidR="0061444C" w:rsidRDefault="0061444C" w:rsidP="0061444C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Hidroelektik enerji 1,</w:t>
      </w:r>
      <w:r w:rsidR="0026053D">
        <w:rPr>
          <w:sz w:val="24"/>
          <w:szCs w:val="24"/>
        </w:rPr>
        <w:t>500</w:t>
      </w:r>
      <w:r>
        <w:rPr>
          <w:sz w:val="24"/>
          <w:szCs w:val="24"/>
        </w:rPr>
        <w:t xml:space="preserve"> twh (1m</w:t>
      </w:r>
      <w:r w:rsidR="0026053D">
        <w:rPr>
          <w:sz w:val="24"/>
          <w:szCs w:val="24"/>
        </w:rPr>
        <w:t xml:space="preserve">500 </w:t>
      </w:r>
      <w:r>
        <w:rPr>
          <w:sz w:val="24"/>
          <w:szCs w:val="24"/>
        </w:rPr>
        <w:t>d</w:t>
      </w:r>
      <w:r w:rsidR="0026053D">
        <w:rPr>
          <w:sz w:val="24"/>
          <w:szCs w:val="24"/>
        </w:rPr>
        <w:t>e</w:t>
      </w:r>
      <w:r>
        <w:rPr>
          <w:sz w:val="24"/>
          <w:szCs w:val="24"/>
        </w:rPr>
        <w:t xml:space="preserve"> olabilir net değil)</w:t>
      </w:r>
    </w:p>
    <w:p w14:paraId="7BDA0E34" w14:textId="2CC0CD50" w:rsidR="0061444C" w:rsidRDefault="0061444C" w:rsidP="0061444C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Biyoenerji 1</w:t>
      </w:r>
      <w:r w:rsidR="0026053D">
        <w:rPr>
          <w:sz w:val="24"/>
          <w:szCs w:val="24"/>
        </w:rPr>
        <w:t>00 twh</w:t>
      </w:r>
    </w:p>
    <w:p w14:paraId="2746740A" w14:textId="64D08EB4" w:rsidR="00C16CAD" w:rsidRPr="00C16CAD" w:rsidRDefault="00C16CAD" w:rsidP="00C16CAD">
      <w:pPr>
        <w:pStyle w:val="ListeParagraf"/>
        <w:rPr>
          <w:sz w:val="24"/>
          <w:szCs w:val="24"/>
        </w:rPr>
      </w:pPr>
    </w:p>
    <w:p w14:paraId="2BA8695A" w14:textId="73ADABBC" w:rsidR="00820A8F" w:rsidRPr="00936146" w:rsidRDefault="00936146" w:rsidP="00936146">
      <w:pPr>
        <w:pStyle w:val="ListeParagraf"/>
        <w:numPr>
          <w:ilvl w:val="0"/>
          <w:numId w:val="2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936146">
        <w:rPr>
          <w:b/>
          <w:bCs/>
          <w:sz w:val="28"/>
          <w:szCs w:val="28"/>
        </w:rPr>
        <w:t>Avrupa</w:t>
      </w:r>
      <w:r w:rsidRPr="00936146">
        <w:rPr>
          <w:sz w:val="28"/>
          <w:szCs w:val="28"/>
        </w:rPr>
        <w:t>:</w:t>
      </w:r>
      <w:r w:rsidRPr="00936146">
        <w:rPr>
          <w:sz w:val="24"/>
          <w:szCs w:val="24"/>
        </w:rPr>
        <w:t xml:space="preserve"> </w:t>
      </w:r>
      <w:r w:rsidR="00820A8F" w:rsidRPr="00936146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2020 itibarıyla, AB'de toplam enerji arzının yaklaşık </w:t>
      </w:r>
      <w:proofErr w:type="gramStart"/>
      <w:r w:rsidR="00820A8F" w:rsidRPr="00936146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%22</w:t>
      </w:r>
      <w:proofErr w:type="gramEnd"/>
      <w:r w:rsidR="00820A8F" w:rsidRPr="00936146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'si yenilenebilir enerji kaynaklarından sağlanmaktadır. 2030 yılına kadar bu oranı </w:t>
      </w:r>
      <w:proofErr w:type="gramStart"/>
      <w:r w:rsidR="00820A8F" w:rsidRPr="00936146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%45</w:t>
      </w:r>
      <w:proofErr w:type="gramEnd"/>
      <w:r w:rsidR="00820A8F" w:rsidRPr="00936146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'e çıkarmak hedeflenmiştir​. </w:t>
      </w:r>
      <w:r w:rsidR="004C7547" w:rsidRPr="00936146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Bu hedefler doğrultusunda</w:t>
      </w:r>
    </w:p>
    <w:p w14:paraId="42614A01" w14:textId="0968B77B" w:rsidR="00820A8F" w:rsidRDefault="00820A8F" w:rsidP="00C16CAD">
      <w:pPr>
        <w:pStyle w:val="ListeParagraf"/>
        <w:numPr>
          <w:ilvl w:val="0"/>
          <w:numId w:val="3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936146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Yenilenebilir enerjiye yapılan yatırımlar özellikle güneş ve </w:t>
      </w:r>
      <w:proofErr w:type="gramStart"/>
      <w:r w:rsidRPr="00936146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rüzgar</w:t>
      </w:r>
      <w:proofErr w:type="gramEnd"/>
      <w:r w:rsidRPr="00936146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enerjisi alanlarında yoğunlaşmıştır. 2020 yılı verilerine göre, Avrupa'da </w:t>
      </w:r>
      <w:proofErr w:type="gramStart"/>
      <w:r w:rsidRPr="00936146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rüzgar</w:t>
      </w:r>
      <w:proofErr w:type="gramEnd"/>
      <w:r w:rsidRPr="00936146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enerjisi kurulu gücü dünya çapında ikinci sıradadır ve güneş enerjisi kapasitesi de hızla artmaktadır</w:t>
      </w:r>
    </w:p>
    <w:p w14:paraId="560BD833" w14:textId="3B35D321" w:rsidR="0026053D" w:rsidRDefault="0026053D" w:rsidP="00C16CAD">
      <w:pPr>
        <w:pStyle w:val="ListeParagraf"/>
        <w:numPr>
          <w:ilvl w:val="0"/>
          <w:numId w:val="3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Rüzgar</w:t>
      </w:r>
      <w:proofErr w:type="gramEnd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enerjisi 481 twh </w:t>
      </w:r>
    </w:p>
    <w:p w14:paraId="3A39B2EC" w14:textId="25E64AB6" w:rsidR="0026053D" w:rsidRDefault="0026053D" w:rsidP="00C16CAD">
      <w:pPr>
        <w:pStyle w:val="ListeParagraf"/>
        <w:numPr>
          <w:ilvl w:val="0"/>
          <w:numId w:val="3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Güneş enerjisi 240 twh</w:t>
      </w:r>
    </w:p>
    <w:p w14:paraId="66CBA876" w14:textId="42CD8EB9" w:rsidR="0026053D" w:rsidRDefault="0026053D" w:rsidP="00C16CAD">
      <w:pPr>
        <w:pStyle w:val="ListeParagraf"/>
        <w:numPr>
          <w:ilvl w:val="0"/>
          <w:numId w:val="3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Jeotermal enerji 15 twh</w:t>
      </w:r>
    </w:p>
    <w:p w14:paraId="252EEAAA" w14:textId="3BB6284E" w:rsidR="0026053D" w:rsidRDefault="0026053D" w:rsidP="00C16CAD">
      <w:pPr>
        <w:pStyle w:val="ListeParagraf"/>
        <w:numPr>
          <w:ilvl w:val="0"/>
          <w:numId w:val="3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Hidroelektrik enerji 317 twh</w:t>
      </w:r>
    </w:p>
    <w:p w14:paraId="4977E304" w14:textId="230C814E" w:rsidR="0026053D" w:rsidRDefault="0026053D" w:rsidP="00C16CAD">
      <w:pPr>
        <w:pStyle w:val="ListeParagraf"/>
        <w:numPr>
          <w:ilvl w:val="0"/>
          <w:numId w:val="3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Biyoenerji 130 twh</w:t>
      </w:r>
    </w:p>
    <w:p w14:paraId="5280A9E5" w14:textId="77777777" w:rsidR="0026053D" w:rsidRDefault="0026053D" w:rsidP="0061444C">
      <w:pPr>
        <w:ind w:left="1140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</w:p>
    <w:p w14:paraId="33D72BCC" w14:textId="6FDB7E14" w:rsidR="0073581D" w:rsidRDefault="0073581D" w:rsidP="0061444C">
      <w:pPr>
        <w:ind w:left="1140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61444C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Kuzey Amerika:</w:t>
      </w:r>
      <w:r w:rsidRPr="0061444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r w:rsidR="0061444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S</w:t>
      </w:r>
      <w:r w:rsidR="0061444C" w:rsidRPr="0061444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on </w:t>
      </w:r>
      <w:r w:rsidR="004C7547" w:rsidRPr="0061444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verilere göre, Kuzey Amerika'nın küresel yenilenebilir enerji kapasitesindeki payı yaklaşık </w:t>
      </w:r>
      <w:proofErr w:type="gramStart"/>
      <w:r w:rsidR="004C7547" w:rsidRPr="0061444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%20</w:t>
      </w:r>
      <w:proofErr w:type="gramEnd"/>
      <w:r w:rsidR="004C7547" w:rsidRPr="0061444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'dir. 2023 yılında, ABD'de yenilenebilir enerjiler elektrik talebinin </w:t>
      </w:r>
      <w:proofErr w:type="gramStart"/>
      <w:r w:rsidR="004C7547" w:rsidRPr="0061444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%23</w:t>
      </w:r>
      <w:proofErr w:type="gramEnd"/>
      <w:r w:rsidR="004C7547" w:rsidRPr="0061444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'ünü karşılayarak, bölgenin küresel yenilenebilir enerji sahnesindeki önemli rolünü vurgulamaktadır</w:t>
      </w:r>
      <w:r w:rsidR="00936146" w:rsidRPr="0061444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100B9D8C" w14:textId="6F06082F" w:rsidR="0061444C" w:rsidRDefault="0061444C" w:rsidP="0061444C">
      <w:pPr>
        <w:pStyle w:val="ListeParagraf"/>
        <w:numPr>
          <w:ilvl w:val="0"/>
          <w:numId w:val="5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Rüzgar</w:t>
      </w:r>
      <w:proofErr w:type="gramEnd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enerjisi 160gw</w:t>
      </w:r>
    </w:p>
    <w:p w14:paraId="7E6FCCF5" w14:textId="3C13E199" w:rsidR="0061444C" w:rsidRDefault="0061444C" w:rsidP="0061444C">
      <w:pPr>
        <w:pStyle w:val="ListeParagraf"/>
        <w:numPr>
          <w:ilvl w:val="0"/>
          <w:numId w:val="5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Güneş enerjisi 150 gw</w:t>
      </w:r>
    </w:p>
    <w:p w14:paraId="7F1F8C3D" w14:textId="30BEA5F2" w:rsidR="0061444C" w:rsidRDefault="0061444C" w:rsidP="0061444C">
      <w:pPr>
        <w:pStyle w:val="ListeParagraf"/>
        <w:numPr>
          <w:ilvl w:val="0"/>
          <w:numId w:val="5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Jeotermal 3,7 gw</w:t>
      </w:r>
    </w:p>
    <w:p w14:paraId="6285C530" w14:textId="1E51B616" w:rsidR="0061444C" w:rsidRDefault="0061444C" w:rsidP="0061444C">
      <w:pPr>
        <w:pStyle w:val="ListeParagraf"/>
        <w:numPr>
          <w:ilvl w:val="0"/>
          <w:numId w:val="5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Hidroelektik 180gw</w:t>
      </w:r>
    </w:p>
    <w:p w14:paraId="3368D14B" w14:textId="2FA117AB" w:rsidR="0061444C" w:rsidRPr="0061444C" w:rsidRDefault="0061444C" w:rsidP="0061444C">
      <w:pPr>
        <w:pStyle w:val="ListeParagraf"/>
        <w:numPr>
          <w:ilvl w:val="0"/>
          <w:numId w:val="5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Biyoenerji 20 gw</w:t>
      </w:r>
    </w:p>
    <w:p w14:paraId="723EBB80" w14:textId="77777777" w:rsidR="00936146" w:rsidRPr="00936146" w:rsidRDefault="00936146" w:rsidP="00820A8F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776E1197" w14:textId="645D105A" w:rsidR="0073581D" w:rsidRDefault="0073581D" w:rsidP="00C16CAD">
      <w:pPr>
        <w:pStyle w:val="ListeParagraf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936146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Güney Amerika:</w:t>
      </w:r>
      <w:r w:rsidRPr="00936146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r w:rsidR="006F62A1" w:rsidRPr="00936146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Bu, bölgenin dünya yenilenebilir enerji üretiminde yaklaşık </w:t>
      </w:r>
      <w:proofErr w:type="gramStart"/>
      <w:r w:rsidR="006F62A1" w:rsidRPr="00936146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%8</w:t>
      </w:r>
      <w:proofErr w:type="gramEnd"/>
      <w:r w:rsidR="006F62A1" w:rsidRPr="00936146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'lik bir paya sahip olduğunu göstermektedir​. Bölgedeki ana yenilenebilir enerji kaynağı hidroelektrik enerjidir</w:t>
      </w:r>
      <w:r w:rsidR="0061444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52F5924A" w14:textId="43B1A72F" w:rsidR="0061444C" w:rsidRDefault="0061444C" w:rsidP="0061444C">
      <w:pPr>
        <w:pStyle w:val="ListeParagraf"/>
        <w:numPr>
          <w:ilvl w:val="0"/>
          <w:numId w:val="6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lastRenderedPageBreak/>
        <w:t>Rüzgar</w:t>
      </w:r>
      <w:proofErr w:type="gramEnd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enerjisi </w:t>
      </w:r>
      <w:r w:rsidR="001638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22.000 mw</w:t>
      </w:r>
    </w:p>
    <w:p w14:paraId="4CBE190B" w14:textId="41AA801C" w:rsidR="0016385D" w:rsidRDefault="0016385D" w:rsidP="0061444C">
      <w:pPr>
        <w:pStyle w:val="ListeParagraf"/>
        <w:numPr>
          <w:ilvl w:val="0"/>
          <w:numId w:val="6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Güneş enerjisi 20.000 mw</w:t>
      </w:r>
    </w:p>
    <w:p w14:paraId="666DEBE2" w14:textId="7FFE2E56" w:rsidR="0016385D" w:rsidRDefault="0016385D" w:rsidP="0061444C">
      <w:pPr>
        <w:pStyle w:val="ListeParagraf"/>
        <w:numPr>
          <w:ilvl w:val="0"/>
          <w:numId w:val="6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Jeotermal enerji 300 mw</w:t>
      </w:r>
    </w:p>
    <w:p w14:paraId="444975F4" w14:textId="23F84027" w:rsidR="0016385D" w:rsidRDefault="0016385D" w:rsidP="0061444C">
      <w:pPr>
        <w:pStyle w:val="ListeParagraf"/>
        <w:numPr>
          <w:ilvl w:val="0"/>
          <w:numId w:val="6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Hidroelektrik enerji 250.000 mw</w:t>
      </w:r>
    </w:p>
    <w:p w14:paraId="775DA2B9" w14:textId="25EF773D" w:rsidR="0016385D" w:rsidRPr="00936146" w:rsidRDefault="0016385D" w:rsidP="0061444C">
      <w:pPr>
        <w:pStyle w:val="ListeParagraf"/>
        <w:numPr>
          <w:ilvl w:val="0"/>
          <w:numId w:val="6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Biyoenerji 20.000 mw</w:t>
      </w:r>
    </w:p>
    <w:p w14:paraId="42337436" w14:textId="77777777" w:rsidR="00936146" w:rsidRPr="00936146" w:rsidRDefault="00936146" w:rsidP="00820A8F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0F760798" w14:textId="661F47DC" w:rsidR="00936146" w:rsidRDefault="0073581D" w:rsidP="0016385D">
      <w:pPr>
        <w:pStyle w:val="ListeParagraf"/>
        <w:numPr>
          <w:ilvl w:val="0"/>
          <w:numId w:val="2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16385D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Afrika:</w:t>
      </w:r>
      <w:r w:rsidRPr="001638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r w:rsidR="006F62A1" w:rsidRPr="001638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2020 itibarıyla, Afrika'da üretilen enerjinin </w:t>
      </w:r>
      <w:proofErr w:type="gramStart"/>
      <w:r w:rsidR="006F62A1" w:rsidRPr="001638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%9</w:t>
      </w:r>
      <w:proofErr w:type="gramEnd"/>
      <w:r w:rsidR="006F62A1" w:rsidRPr="001638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'u yenilenebilir kaynaklardan sağlanmaktadır. Afrika, küresel yenilenebilir enerji kapasitesinin yaklaşık </w:t>
      </w:r>
      <w:proofErr w:type="gramStart"/>
      <w:r w:rsidR="006F62A1" w:rsidRPr="001638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%2</w:t>
      </w:r>
      <w:proofErr w:type="gramEnd"/>
      <w:r w:rsidR="006F62A1" w:rsidRPr="001638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'sine sahiptir. </w:t>
      </w:r>
    </w:p>
    <w:p w14:paraId="046C22AD" w14:textId="0711B22A" w:rsidR="0016385D" w:rsidRDefault="0016385D" w:rsidP="0016385D">
      <w:pPr>
        <w:pStyle w:val="ListeParagraf"/>
        <w:numPr>
          <w:ilvl w:val="0"/>
          <w:numId w:val="7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Rüzgar</w:t>
      </w:r>
      <w:proofErr w:type="gramEnd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enerjisi 500 mw</w:t>
      </w:r>
    </w:p>
    <w:p w14:paraId="2CCA54B7" w14:textId="37002797" w:rsidR="0016385D" w:rsidRDefault="0016385D" w:rsidP="0016385D">
      <w:pPr>
        <w:pStyle w:val="ListeParagraf"/>
        <w:numPr>
          <w:ilvl w:val="0"/>
          <w:numId w:val="7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Güneş enerjisi 10 gw</w:t>
      </w:r>
    </w:p>
    <w:p w14:paraId="1F91F507" w14:textId="07E1A5A0" w:rsidR="0016385D" w:rsidRDefault="0016385D" w:rsidP="0016385D">
      <w:pPr>
        <w:pStyle w:val="ListeParagraf"/>
        <w:numPr>
          <w:ilvl w:val="0"/>
          <w:numId w:val="7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Jeotermal enerji900 mw</w:t>
      </w:r>
    </w:p>
    <w:p w14:paraId="4BF7E1EB" w14:textId="4470AC73" w:rsidR="0016385D" w:rsidRDefault="0016385D" w:rsidP="0016385D">
      <w:pPr>
        <w:pStyle w:val="ListeParagraf"/>
        <w:numPr>
          <w:ilvl w:val="0"/>
          <w:numId w:val="7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Hidroelektrik 38 gw</w:t>
      </w:r>
    </w:p>
    <w:p w14:paraId="2DE7D1F3" w14:textId="07A9D82F" w:rsidR="0016385D" w:rsidRDefault="0016385D" w:rsidP="0016385D">
      <w:pPr>
        <w:pStyle w:val="ListeParagraf"/>
        <w:numPr>
          <w:ilvl w:val="0"/>
          <w:numId w:val="7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Biyoenerji veri yok</w:t>
      </w:r>
    </w:p>
    <w:p w14:paraId="1C5ECBD7" w14:textId="77777777" w:rsidR="0016385D" w:rsidRPr="0016385D" w:rsidRDefault="0016385D" w:rsidP="0016385D">
      <w:pPr>
        <w:pStyle w:val="ListeParagraf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3811E4EF" w14:textId="77777777" w:rsidR="0016385D" w:rsidRDefault="0016385D" w:rsidP="0016385D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082EBE20" w14:textId="77777777" w:rsidR="0016385D" w:rsidRPr="0016385D" w:rsidRDefault="0016385D" w:rsidP="0016385D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0A0A9145" w14:textId="77777777" w:rsidR="0016385D" w:rsidRDefault="0016385D" w:rsidP="0016385D">
      <w:pPr>
        <w:pStyle w:val="ListeParagraf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6F4EEB27" w14:textId="77777777" w:rsidR="0016385D" w:rsidRPr="0016385D" w:rsidRDefault="0016385D" w:rsidP="0016385D">
      <w:pPr>
        <w:pStyle w:val="ListeParagraf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6B69308A" w14:textId="2CF7CF52" w:rsidR="0016385D" w:rsidRPr="0016385D" w:rsidRDefault="0073581D" w:rsidP="0016385D">
      <w:pPr>
        <w:pStyle w:val="ListeParagraf"/>
        <w:numPr>
          <w:ilvl w:val="0"/>
          <w:numId w:val="2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16385D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Avustralya ve Okyanusya:</w:t>
      </w:r>
      <w:r w:rsidRPr="001638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r w:rsidR="00936146" w:rsidRPr="001638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2022 itibariyle, yenilenebilir enerji kaynakları Avustralya'nın toplam elektrik üretiminin %32'sini oluşturdu ve bu kaynakların başlıcaları güneş, </w:t>
      </w:r>
      <w:proofErr w:type="gramStart"/>
      <w:r w:rsidR="00936146" w:rsidRPr="001638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rüzgar</w:t>
      </w:r>
      <w:proofErr w:type="gramEnd"/>
      <w:r w:rsidR="00936146" w:rsidRPr="001638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ve hidroelektrik oldu. Avustralya'nın yenilenebilir enerji oranının 2030'a kadar </w:t>
      </w:r>
      <w:proofErr w:type="gramStart"/>
      <w:r w:rsidR="00936146" w:rsidRPr="001638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%82</w:t>
      </w:r>
      <w:proofErr w:type="gramEnd"/>
      <w:r w:rsidR="00936146" w:rsidRPr="001638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'ye çıkması bekleniyor</w:t>
      </w:r>
      <w:r w:rsidR="001638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  <w:r w:rsidR="00936146" w:rsidRPr="0016385D">
        <w:rPr>
          <w:sz w:val="24"/>
          <w:szCs w:val="24"/>
        </w:rPr>
        <w:t xml:space="preserve"> </w:t>
      </w:r>
    </w:p>
    <w:p w14:paraId="392BF8C6" w14:textId="7B8931C8" w:rsidR="0016385D" w:rsidRDefault="0016385D" w:rsidP="0016385D">
      <w:pPr>
        <w:pStyle w:val="ListeParagraf"/>
        <w:numPr>
          <w:ilvl w:val="0"/>
          <w:numId w:val="8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proofErr w:type="gramStart"/>
      <w:r w:rsidRPr="001638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R</w:t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üzgar</w:t>
      </w:r>
      <w:proofErr w:type="gramEnd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enerjisi 12 gw</w:t>
      </w:r>
    </w:p>
    <w:p w14:paraId="2F36D4D9" w14:textId="294D9BD9" w:rsidR="0016385D" w:rsidRDefault="0016385D" w:rsidP="0016385D">
      <w:pPr>
        <w:pStyle w:val="ListeParagraf"/>
        <w:numPr>
          <w:ilvl w:val="0"/>
          <w:numId w:val="8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Güneş enerjisi 25 gw</w:t>
      </w:r>
    </w:p>
    <w:p w14:paraId="1152FAEF" w14:textId="1D94AE92" w:rsidR="0016385D" w:rsidRDefault="0016385D" w:rsidP="0016385D">
      <w:pPr>
        <w:pStyle w:val="ListeParagraf"/>
        <w:numPr>
          <w:ilvl w:val="0"/>
          <w:numId w:val="8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Jeotermal enerji 1 gw</w:t>
      </w:r>
    </w:p>
    <w:p w14:paraId="6D616781" w14:textId="34A51BA9" w:rsidR="0016385D" w:rsidRDefault="0016385D" w:rsidP="0016385D">
      <w:pPr>
        <w:pStyle w:val="ListeParagraf"/>
        <w:numPr>
          <w:ilvl w:val="0"/>
          <w:numId w:val="8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Hidroelektrik 8 gw</w:t>
      </w:r>
    </w:p>
    <w:p w14:paraId="031F10DE" w14:textId="1FE7D2E9" w:rsidR="0016385D" w:rsidRPr="0016385D" w:rsidRDefault="0016385D" w:rsidP="0016385D">
      <w:pPr>
        <w:pStyle w:val="ListeParagraf"/>
        <w:numPr>
          <w:ilvl w:val="0"/>
          <w:numId w:val="8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Biyokütle 0.5 gw</w:t>
      </w:r>
    </w:p>
    <w:p w14:paraId="4232E27F" w14:textId="77777777" w:rsidR="0016385D" w:rsidRDefault="0016385D" w:rsidP="0016385D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19709182" w14:textId="77777777" w:rsidR="0016385D" w:rsidRPr="0016385D" w:rsidRDefault="0016385D" w:rsidP="0016385D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4F14F23F" w14:textId="50F7810C" w:rsidR="00820A8F" w:rsidRDefault="0073581D" w:rsidP="00CC03D3">
      <w:pPr>
        <w:pStyle w:val="ListeParagraf"/>
        <w:numPr>
          <w:ilvl w:val="0"/>
          <w:numId w:val="2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16385D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Orta Doğu:</w:t>
      </w:r>
      <w:r w:rsidRPr="001638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r w:rsidR="00936146" w:rsidRPr="001638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2023 itibarıyla, Orta Doğu'nun küresel yenilenebilir enerji kapasitesindeki payı </w:t>
      </w:r>
      <w:proofErr w:type="gramStart"/>
      <w:r w:rsidR="00936146" w:rsidRPr="001638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%1</w:t>
      </w:r>
      <w:proofErr w:type="gramEnd"/>
      <w:r w:rsidR="00936146" w:rsidRPr="001638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'in altındadır. </w:t>
      </w:r>
    </w:p>
    <w:p w14:paraId="28488571" w14:textId="686CBEF4" w:rsidR="0016385D" w:rsidRDefault="0016385D" w:rsidP="0016385D">
      <w:pPr>
        <w:pStyle w:val="ListeParagraf"/>
        <w:numPr>
          <w:ilvl w:val="0"/>
          <w:numId w:val="9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Rüzgar</w:t>
      </w:r>
      <w:proofErr w:type="gramEnd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enerjisi 1.5 gw</w:t>
      </w:r>
    </w:p>
    <w:p w14:paraId="5F32CE45" w14:textId="26BE5843" w:rsidR="0016385D" w:rsidRDefault="0016385D" w:rsidP="0016385D">
      <w:pPr>
        <w:pStyle w:val="ListeParagraf"/>
        <w:numPr>
          <w:ilvl w:val="0"/>
          <w:numId w:val="9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Güneş enerjisi 20 gw</w:t>
      </w:r>
    </w:p>
    <w:p w14:paraId="6EF02D30" w14:textId="12577470" w:rsidR="0016385D" w:rsidRDefault="0016385D" w:rsidP="0016385D">
      <w:pPr>
        <w:pStyle w:val="ListeParagraf"/>
        <w:numPr>
          <w:ilvl w:val="0"/>
          <w:numId w:val="9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Jeotermal enerji 1.7 gw</w:t>
      </w:r>
    </w:p>
    <w:p w14:paraId="5B1FDEAB" w14:textId="32D0049D" w:rsidR="0016385D" w:rsidRDefault="0016385D" w:rsidP="0016385D">
      <w:pPr>
        <w:pStyle w:val="ListeParagraf"/>
        <w:numPr>
          <w:ilvl w:val="0"/>
          <w:numId w:val="9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Hidroelektrik </w:t>
      </w:r>
      <w:r w:rsidR="009E1288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12.1 gw</w:t>
      </w:r>
    </w:p>
    <w:p w14:paraId="7124B7D2" w14:textId="24AF69F6" w:rsidR="0016385D" w:rsidRDefault="0016385D" w:rsidP="0016385D">
      <w:pPr>
        <w:pStyle w:val="ListeParagraf"/>
        <w:numPr>
          <w:ilvl w:val="0"/>
          <w:numId w:val="9"/>
        </w:num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Biyoenerji veri yok</w:t>
      </w:r>
    </w:p>
    <w:p w14:paraId="4FE34FB2" w14:textId="77777777" w:rsidR="0026053D" w:rsidRDefault="0026053D" w:rsidP="0026053D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173070EC" w14:textId="197B1038" w:rsidR="0026053D" w:rsidRPr="0026053D" w:rsidRDefault="0026053D" w:rsidP="0026053D">
      <w:pPr>
        <w:rPr>
          <w:rFonts w:ascii="Segoe UI" w:eastAsiaTheme="minorEastAsia" w:hAnsi="Segoe UI" w:cs="Segoe UI"/>
          <w:color w:val="0D0D0D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0D0D0D"/>
              <w:sz w:val="24"/>
              <w:szCs w:val="24"/>
              <w:shd w:val="clear" w:color="auto" w:fill="FFFFFF"/>
            </w:rPr>
            <m:t>1</m:t>
          </m:r>
          <m:r>
            <m:rPr>
              <m:nor/>
            </m:rPr>
            <w:rPr>
              <w:rFonts w:ascii="Segoe UI" w:hAnsi="Segoe UI" w:cs="Segoe UI"/>
              <w:color w:val="0D0D0D"/>
              <w:sz w:val="24"/>
              <w:szCs w:val="24"/>
              <w:shd w:val="clear" w:color="auto" w:fill="FFFFFF"/>
            </w:rPr>
            <m:t> TWh</m:t>
          </m:r>
          <m:r>
            <w:rPr>
              <w:rFonts w:ascii="Cambria Math" w:hAnsi="Cambria Math" w:cs="Segoe UI"/>
              <w:color w:val="0D0D0D"/>
              <w:sz w:val="24"/>
              <w:szCs w:val="24"/>
              <w:shd w:val="clear" w:color="auto" w:fill="FFFFFF"/>
            </w:rPr>
            <m:t>=1000</m:t>
          </m:r>
          <m:r>
            <m:rPr>
              <m:nor/>
            </m:rPr>
            <w:rPr>
              <w:rFonts w:ascii="Segoe UI" w:hAnsi="Segoe UI" w:cs="Segoe UI"/>
              <w:color w:val="0D0D0D"/>
              <w:sz w:val="24"/>
              <w:szCs w:val="24"/>
              <w:shd w:val="clear" w:color="auto" w:fill="FFFFFF"/>
            </w:rPr>
            <m:t> GW</m:t>
          </m:r>
        </m:oMath>
      </m:oMathPara>
    </w:p>
    <w:p w14:paraId="6061C953" w14:textId="3F5E3C09" w:rsidR="00820A8F" w:rsidRPr="00936146" w:rsidRDefault="0026053D" w:rsidP="00820A8F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0D0D0D"/>
              <w:sz w:val="24"/>
              <w:szCs w:val="24"/>
              <w:shd w:val="clear" w:color="auto" w:fill="FFFFFF"/>
            </w:rPr>
            <m:t>15</m:t>
          </m:r>
          <m:r>
            <m:rPr>
              <m:nor/>
            </m:rPr>
            <w:rPr>
              <w:rFonts w:ascii="Segoe UI" w:hAnsi="Segoe UI" w:cs="Segoe UI"/>
              <w:color w:val="0D0D0D"/>
              <w:sz w:val="24"/>
              <w:szCs w:val="24"/>
              <w:shd w:val="clear" w:color="auto" w:fill="FFFFFF"/>
            </w:rPr>
            <m:t> TWh</m:t>
          </m:r>
          <m:r>
            <w:rPr>
              <w:rFonts w:ascii="Cambria Math" w:hAnsi="Cambria Math" w:cs="Segoe UI"/>
              <w:color w:val="0D0D0D"/>
              <w:sz w:val="24"/>
              <w:szCs w:val="24"/>
              <w:shd w:val="clear" w:color="auto" w:fill="FFFFFF"/>
            </w:rPr>
            <m:t>=15×1000</m:t>
          </m:r>
          <m:r>
            <m:rPr>
              <m:nor/>
            </m:rPr>
            <w:rPr>
              <w:rFonts w:ascii="Segoe UI" w:hAnsi="Segoe UI" w:cs="Segoe UI"/>
              <w:color w:val="0D0D0D"/>
              <w:sz w:val="24"/>
              <w:szCs w:val="24"/>
              <w:shd w:val="clear" w:color="auto" w:fill="FFFFFF"/>
            </w:rPr>
            <m:t> GW</m:t>
          </m:r>
          <m:r>
            <w:rPr>
              <w:rFonts w:ascii="Cambria Math" w:hAnsi="Cambria Math" w:cs="Segoe UI"/>
              <w:color w:val="0D0D0D"/>
              <w:sz w:val="24"/>
              <w:szCs w:val="24"/>
              <w:shd w:val="clear" w:color="auto" w:fill="FFFFFF"/>
            </w:rPr>
            <m:t>=15000</m:t>
          </m:r>
          <m:r>
            <m:rPr>
              <m:nor/>
            </m:rPr>
            <w:rPr>
              <w:rFonts w:ascii="Segoe UI" w:hAnsi="Segoe UI" w:cs="Segoe UI"/>
              <w:color w:val="0D0D0D"/>
              <w:sz w:val="24"/>
              <w:szCs w:val="24"/>
              <w:shd w:val="clear" w:color="auto" w:fill="FFFFFF"/>
            </w:rPr>
            <m:t> G</m:t>
          </m:r>
        </m:oMath>
      </m:oMathPara>
    </w:p>
    <w:sectPr w:rsidR="00820A8F" w:rsidRPr="00936146" w:rsidSect="009361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D1376"/>
    <w:multiLevelType w:val="hybridMultilevel"/>
    <w:tmpl w:val="12B0508E"/>
    <w:lvl w:ilvl="0" w:tplc="041F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CB079DE"/>
    <w:multiLevelType w:val="hybridMultilevel"/>
    <w:tmpl w:val="75FA79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  <w:color w:val="0D0D0D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E2334"/>
    <w:multiLevelType w:val="hybridMultilevel"/>
    <w:tmpl w:val="62085B9A"/>
    <w:lvl w:ilvl="0" w:tplc="041F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6850D6C"/>
    <w:multiLevelType w:val="hybridMultilevel"/>
    <w:tmpl w:val="45DA1FEC"/>
    <w:lvl w:ilvl="0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2561FC"/>
    <w:multiLevelType w:val="hybridMultilevel"/>
    <w:tmpl w:val="64B286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467606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  <w:color w:val="0D0D0D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A6A3C"/>
    <w:multiLevelType w:val="hybridMultilevel"/>
    <w:tmpl w:val="A7D2D6FA"/>
    <w:lvl w:ilvl="0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D90140"/>
    <w:multiLevelType w:val="hybridMultilevel"/>
    <w:tmpl w:val="28DCDB7A"/>
    <w:lvl w:ilvl="0" w:tplc="041F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7B000ED7"/>
    <w:multiLevelType w:val="hybridMultilevel"/>
    <w:tmpl w:val="ECAE64A0"/>
    <w:lvl w:ilvl="0" w:tplc="041F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7C577BBB"/>
    <w:multiLevelType w:val="hybridMultilevel"/>
    <w:tmpl w:val="2AD473A4"/>
    <w:lvl w:ilvl="0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7821543">
    <w:abstractNumId w:val="4"/>
  </w:num>
  <w:num w:numId="2" w16cid:durableId="411581689">
    <w:abstractNumId w:val="1"/>
  </w:num>
  <w:num w:numId="3" w16cid:durableId="1280844813">
    <w:abstractNumId w:val="0"/>
  </w:num>
  <w:num w:numId="4" w16cid:durableId="1018505333">
    <w:abstractNumId w:val="3"/>
  </w:num>
  <w:num w:numId="5" w16cid:durableId="412050938">
    <w:abstractNumId w:val="6"/>
  </w:num>
  <w:num w:numId="6" w16cid:durableId="2057312420">
    <w:abstractNumId w:val="5"/>
  </w:num>
  <w:num w:numId="7" w16cid:durableId="1493182402">
    <w:abstractNumId w:val="8"/>
  </w:num>
  <w:num w:numId="8" w16cid:durableId="1275020352">
    <w:abstractNumId w:val="7"/>
  </w:num>
  <w:num w:numId="9" w16cid:durableId="741681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8F"/>
    <w:rsid w:val="0016385D"/>
    <w:rsid w:val="001D727A"/>
    <w:rsid w:val="0026053D"/>
    <w:rsid w:val="0029746E"/>
    <w:rsid w:val="002B10B3"/>
    <w:rsid w:val="004C7547"/>
    <w:rsid w:val="0061444C"/>
    <w:rsid w:val="006F62A1"/>
    <w:rsid w:val="0072380E"/>
    <w:rsid w:val="0073581D"/>
    <w:rsid w:val="00820A8F"/>
    <w:rsid w:val="00936146"/>
    <w:rsid w:val="009E1288"/>
    <w:rsid w:val="00B90340"/>
    <w:rsid w:val="00C1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4F9DF"/>
  <w15:chartTrackingRefBased/>
  <w15:docId w15:val="{44DC5EB5-90EA-47B2-A921-A02319E6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3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3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8830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941931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10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B0658-FF7D-48EB-9D00-960A91F00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Atasoy</dc:creator>
  <cp:keywords/>
  <dc:description/>
  <cp:lastModifiedBy>Buse Atasoy</cp:lastModifiedBy>
  <cp:revision>4</cp:revision>
  <dcterms:created xsi:type="dcterms:W3CDTF">2024-05-16T19:40:00Z</dcterms:created>
  <dcterms:modified xsi:type="dcterms:W3CDTF">2024-05-18T19:13:00Z</dcterms:modified>
</cp:coreProperties>
</file>