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2168B" w14:textId="4907A61F" w:rsidR="000E3B51" w:rsidRPr="00180D33" w:rsidRDefault="000E3B51" w:rsidP="002E3186">
      <w:pPr>
        <w:jc w:val="both"/>
      </w:pPr>
      <w:r w:rsidRPr="00180D33">
        <w:t xml:space="preserve">At the time of writing, the next open case for model enumeration in the queen domination problem is for </w:t>
      </w:r>
      <w:r w:rsidR="006A551E" w:rsidRPr="00180D33">
        <w:t>n=19</w:t>
      </w:r>
      <w:r w:rsidRPr="00180D33">
        <w:t>. Our goal is to address this case.</w:t>
      </w:r>
    </w:p>
    <w:p w14:paraId="528E1B48" w14:textId="10FDCEC7" w:rsidR="004E520B" w:rsidRPr="00180D33" w:rsidRDefault="004E520B" w:rsidP="00063096">
      <w:pPr>
        <w:jc w:val="both"/>
      </w:pPr>
      <w:r w:rsidRPr="00180D33">
        <w:t xml:space="preserve">Please note that while model enumeration for n=19 remains open, the value of </w:t>
      </w:r>
      <w:proofErr w:type="gramStart"/>
      <w:r w:rsidR="00636330" w:rsidRPr="00180D33">
        <w:t>γ(</w:t>
      </w:r>
      <w:proofErr w:type="gramEnd"/>
      <w:r w:rsidR="00636330" w:rsidRPr="00180D33">
        <w:t xml:space="preserve">19) </w:t>
      </w:r>
      <w:r w:rsidRPr="00180D33">
        <w:t>is known. Specifically</w:t>
      </w:r>
      <w:r w:rsidR="00636330" w:rsidRPr="00180D33">
        <w:t xml:space="preserve">, </w:t>
      </w:r>
      <w:proofErr w:type="gramStart"/>
      <w:r w:rsidR="00636330" w:rsidRPr="00180D33">
        <w:t>γ(</w:t>
      </w:r>
      <w:proofErr w:type="gramEnd"/>
      <w:r w:rsidR="00636330" w:rsidRPr="00180D33">
        <w:t>19)</w:t>
      </w:r>
      <w:r w:rsidRPr="00180D33">
        <w:t xml:space="preserve"> is reported to be 10 in the literature, based on exhaustive search methods. However, since this value was determined using advanced search techniques and complex code, which might contain errors, there is some uncertainty about whether </w:t>
      </w:r>
      <w:proofErr w:type="gramStart"/>
      <w:r w:rsidR="006D0EDD" w:rsidRPr="00180D33">
        <w:t>γ(</w:t>
      </w:r>
      <w:proofErr w:type="gramEnd"/>
      <w:r w:rsidR="006D0EDD" w:rsidRPr="00180D33">
        <w:t>19)</w:t>
      </w:r>
      <w:r w:rsidRPr="00180D33">
        <w:t xml:space="preserve"> is truly 10</w:t>
      </w:r>
      <w:r w:rsidR="00063096">
        <w:t xml:space="preserve">. </w:t>
      </w:r>
      <w:r w:rsidR="00063096" w:rsidRPr="00063096">
        <w:t>This uncertainty is particularly relevant if we plan to use this information to tackle the next open case.</w:t>
      </w:r>
    </w:p>
    <w:p w14:paraId="215900EC" w14:textId="31E59C0E" w:rsidR="00655B07" w:rsidRPr="00180D33" w:rsidRDefault="00655B07" w:rsidP="002E3186">
      <w:pPr>
        <w:jc w:val="both"/>
      </w:pPr>
      <w:r w:rsidRPr="00180D33">
        <w:t xml:space="preserve">The literature provides a theorem stating that </w:t>
      </w:r>
      <w:proofErr w:type="gramStart"/>
      <w:r w:rsidRPr="00180D33">
        <w:t>γ(</w:t>
      </w:r>
      <w:proofErr w:type="gramEnd"/>
      <w:r w:rsidRPr="00180D33">
        <w:t>19)</w:t>
      </w:r>
      <w:r w:rsidR="009B601F" w:rsidRPr="00180D33">
        <w:t xml:space="preserve"> </w:t>
      </w:r>
      <w:r w:rsidRPr="00180D33">
        <w:t xml:space="preserve">is at least 9. Additionally, since a solution of size 10 has been found for a 19×19 chessboard, and verifying that this solution is a domination set is straightforward, we can conclude that </w:t>
      </w:r>
      <w:proofErr w:type="gramStart"/>
      <w:r w:rsidR="00157456" w:rsidRPr="00180D33">
        <w:t>γ(</w:t>
      </w:r>
      <w:proofErr w:type="gramEnd"/>
      <w:r w:rsidR="00157456" w:rsidRPr="00180D33">
        <w:t>19)</w:t>
      </w:r>
      <w:r w:rsidRPr="00180D33">
        <w:t xml:space="preserve"> is either 9 or 10.</w:t>
      </w:r>
    </w:p>
    <w:p w14:paraId="12F87367" w14:textId="4218F382" w:rsidR="00A707FA" w:rsidRPr="00180D33" w:rsidRDefault="00A707FA" w:rsidP="002E3186">
      <w:pPr>
        <w:jc w:val="both"/>
      </w:pPr>
      <w:r w:rsidRPr="00180D33">
        <w:t xml:space="preserve">Here, one </w:t>
      </w:r>
      <w:r w:rsidR="0038534B" w:rsidRPr="00180D33">
        <w:t xml:space="preserve">natural </w:t>
      </w:r>
      <w:r w:rsidRPr="00180D33">
        <w:t>way to go through is as follows:</w:t>
      </w:r>
    </w:p>
    <w:p w14:paraId="112808EF" w14:textId="3D822904" w:rsidR="005F0B59" w:rsidRPr="00180D33" w:rsidRDefault="00C6551B" w:rsidP="002E3186">
      <w:pPr>
        <w:pStyle w:val="ListParagraph"/>
        <w:numPr>
          <w:ilvl w:val="0"/>
          <w:numId w:val="1"/>
        </w:numPr>
        <w:jc w:val="both"/>
      </w:pPr>
      <w:r w:rsidRPr="00180D33">
        <w:t xml:space="preserve">Assume </w:t>
      </w:r>
      <w:proofErr w:type="gramStart"/>
      <w:r w:rsidRPr="00180D33">
        <w:t>γ(</w:t>
      </w:r>
      <w:proofErr w:type="gramEnd"/>
      <w:r w:rsidRPr="00180D33">
        <w:t>19) is 9 and encode the problem into SAT.</w:t>
      </w:r>
    </w:p>
    <w:p w14:paraId="5F60CEBC" w14:textId="6EA39397" w:rsidR="00996482" w:rsidRPr="00180D33" w:rsidRDefault="008C71A0" w:rsidP="002E3186">
      <w:pPr>
        <w:pStyle w:val="ListParagraph"/>
        <w:numPr>
          <w:ilvl w:val="0"/>
          <w:numId w:val="1"/>
        </w:numPr>
        <w:jc w:val="both"/>
      </w:pPr>
      <w:r w:rsidRPr="00180D33">
        <w:t>Use a SAT solver to determine if the instance is SAT or UNSAT.</w:t>
      </w:r>
    </w:p>
    <w:p w14:paraId="15CBCD6C" w14:textId="7A2D0AAD" w:rsidR="00CB1634" w:rsidRPr="00180D33" w:rsidRDefault="004857E1" w:rsidP="002E3186">
      <w:pPr>
        <w:pStyle w:val="ListParagraph"/>
        <w:numPr>
          <w:ilvl w:val="0"/>
          <w:numId w:val="1"/>
        </w:numPr>
        <w:jc w:val="both"/>
      </w:pPr>
      <w:r w:rsidRPr="00180D33">
        <w:t>If the instance is SAT, perform model enumeration.</w:t>
      </w:r>
    </w:p>
    <w:p w14:paraId="7C89914B" w14:textId="6A051CFC" w:rsidR="00996482" w:rsidRPr="00180D33" w:rsidRDefault="00656DD5" w:rsidP="002E3186">
      <w:pPr>
        <w:pStyle w:val="ListParagraph"/>
        <w:numPr>
          <w:ilvl w:val="0"/>
          <w:numId w:val="1"/>
        </w:numPr>
        <w:jc w:val="both"/>
      </w:pPr>
      <w:r w:rsidRPr="00180D33">
        <w:t xml:space="preserve">If the instance is UNSAT, then </w:t>
      </w:r>
      <w:proofErr w:type="gramStart"/>
      <w:r w:rsidR="00900278" w:rsidRPr="00180D33">
        <w:t>γ(</w:t>
      </w:r>
      <w:proofErr w:type="gramEnd"/>
      <w:r w:rsidR="00900278" w:rsidRPr="00180D33">
        <w:t>19)</w:t>
      </w:r>
      <w:r w:rsidRPr="00180D33">
        <w:t xml:space="preserve"> must be 10, and model enumeration should be performed under that assumption.</w:t>
      </w:r>
    </w:p>
    <w:p w14:paraId="0F455CC5" w14:textId="2B8550E3" w:rsidR="00180D33" w:rsidRPr="00180D33" w:rsidRDefault="00180D33" w:rsidP="002E3186">
      <w:pPr>
        <w:pStyle w:val="NormalWeb"/>
        <w:jc w:val="both"/>
        <w:rPr>
          <w:rFonts w:asciiTheme="minorHAnsi" w:hAnsiTheme="minorHAnsi"/>
        </w:rPr>
      </w:pPr>
      <w:r w:rsidRPr="00180D33">
        <w:rPr>
          <w:rFonts w:asciiTheme="minorHAnsi" w:hAnsiTheme="minorHAnsi"/>
        </w:rPr>
        <w:t xml:space="preserve">Given the computational intensity of each SAT solver call for a 19×19 chessboard, our goal is to minimize the number of such calls. To optimize </w:t>
      </w:r>
      <w:r w:rsidR="006B733F">
        <w:rPr>
          <w:rFonts w:asciiTheme="minorHAnsi" w:hAnsiTheme="minorHAnsi"/>
        </w:rPr>
        <w:t>the above</w:t>
      </w:r>
      <w:r w:rsidRPr="00180D33">
        <w:rPr>
          <w:rFonts w:asciiTheme="minorHAnsi" w:hAnsiTheme="minorHAnsi"/>
        </w:rPr>
        <w:t xml:space="preserve"> approach, we propose starting with the assumption that </w:t>
      </w:r>
      <w:proofErr w:type="gramStart"/>
      <w:r w:rsidRPr="00180D33">
        <w:rPr>
          <w:rStyle w:val="mord"/>
          <w:rFonts w:asciiTheme="minorHAnsi" w:eastAsiaTheme="majorEastAsia" w:hAnsiTheme="minorHAnsi"/>
        </w:rPr>
        <w:t>γ</w:t>
      </w:r>
      <w:r w:rsidRPr="00180D33">
        <w:rPr>
          <w:rStyle w:val="mopen"/>
          <w:rFonts w:asciiTheme="minorHAnsi" w:eastAsiaTheme="majorEastAsia" w:hAnsiTheme="minorHAnsi"/>
        </w:rPr>
        <w:t>(</w:t>
      </w:r>
      <w:proofErr w:type="gramEnd"/>
      <w:r w:rsidRPr="00180D33">
        <w:rPr>
          <w:rStyle w:val="mord"/>
          <w:rFonts w:asciiTheme="minorHAnsi" w:eastAsiaTheme="majorEastAsia" w:hAnsiTheme="minorHAnsi"/>
        </w:rPr>
        <w:t>19</w:t>
      </w:r>
      <w:r w:rsidRPr="00180D33">
        <w:rPr>
          <w:rStyle w:val="mclose"/>
          <w:rFonts w:asciiTheme="minorHAnsi" w:hAnsiTheme="minorHAnsi"/>
        </w:rPr>
        <w:t>)</w:t>
      </w:r>
      <w:r w:rsidRPr="00180D33">
        <w:rPr>
          <w:rFonts w:asciiTheme="minorHAnsi" w:hAnsiTheme="minorHAnsi"/>
        </w:rPr>
        <w:t xml:space="preserve"> is 10. </w:t>
      </w:r>
      <w:r w:rsidR="00DE453E">
        <w:rPr>
          <w:rFonts w:asciiTheme="minorHAnsi" w:hAnsiTheme="minorHAnsi"/>
        </w:rPr>
        <w:t>In other words, w</w:t>
      </w:r>
      <w:r w:rsidRPr="00180D33">
        <w:rPr>
          <w:rFonts w:asciiTheme="minorHAnsi" w:hAnsiTheme="minorHAnsi"/>
        </w:rPr>
        <w:t xml:space="preserve">hile we should not blindly accept the results reported in the literature—due to potential bugs in their code and lack of independent verification—it is reasonable to initially assume that </w:t>
      </w:r>
      <w:proofErr w:type="gramStart"/>
      <w:r w:rsidRPr="00180D33">
        <w:rPr>
          <w:rStyle w:val="mord"/>
          <w:rFonts w:asciiTheme="minorHAnsi" w:eastAsiaTheme="majorEastAsia" w:hAnsiTheme="minorHAnsi"/>
        </w:rPr>
        <w:t>γ</w:t>
      </w:r>
      <w:r w:rsidRPr="00180D33">
        <w:rPr>
          <w:rStyle w:val="mopen"/>
          <w:rFonts w:asciiTheme="minorHAnsi" w:eastAsiaTheme="majorEastAsia" w:hAnsiTheme="minorHAnsi"/>
        </w:rPr>
        <w:t>(</w:t>
      </w:r>
      <w:proofErr w:type="gramEnd"/>
      <w:r w:rsidRPr="00180D33">
        <w:rPr>
          <w:rStyle w:val="mord"/>
          <w:rFonts w:asciiTheme="minorHAnsi" w:eastAsiaTheme="majorEastAsia" w:hAnsiTheme="minorHAnsi"/>
        </w:rPr>
        <w:t>19</w:t>
      </w:r>
      <w:r w:rsidRPr="00180D33">
        <w:rPr>
          <w:rStyle w:val="mclose"/>
          <w:rFonts w:asciiTheme="minorHAnsi" w:hAnsiTheme="minorHAnsi"/>
        </w:rPr>
        <w:t>)</w:t>
      </w:r>
      <w:r w:rsidRPr="00180D33">
        <w:rPr>
          <w:rFonts w:asciiTheme="minorHAnsi" w:hAnsiTheme="minorHAnsi"/>
        </w:rPr>
        <w:t xml:space="preserve"> is 10. This assumption is based on the premise that, until proven otherwise, the reported value might be correct and serves as a plausible starting point for our analysis.</w:t>
      </w:r>
    </w:p>
    <w:p w14:paraId="7304BA65" w14:textId="160C8188" w:rsidR="00180D33" w:rsidRPr="00180D33" w:rsidRDefault="00180D33" w:rsidP="002E3186">
      <w:pPr>
        <w:pStyle w:val="NormalWeb"/>
        <w:jc w:val="both"/>
        <w:rPr>
          <w:rFonts w:asciiTheme="minorHAnsi" w:hAnsiTheme="minorHAnsi"/>
        </w:rPr>
      </w:pPr>
      <w:r w:rsidRPr="00180D33">
        <w:rPr>
          <w:rFonts w:asciiTheme="minorHAnsi" w:hAnsiTheme="minorHAnsi"/>
        </w:rPr>
        <w:t xml:space="preserve">If </w:t>
      </w:r>
      <w:proofErr w:type="gramStart"/>
      <w:r w:rsidRPr="00180D33">
        <w:rPr>
          <w:rStyle w:val="mord"/>
          <w:rFonts w:asciiTheme="minorHAnsi" w:eastAsiaTheme="majorEastAsia" w:hAnsiTheme="minorHAnsi"/>
        </w:rPr>
        <w:t>γ</w:t>
      </w:r>
      <w:r w:rsidRPr="00180D33">
        <w:rPr>
          <w:rStyle w:val="mopen"/>
          <w:rFonts w:asciiTheme="minorHAnsi" w:eastAsiaTheme="majorEastAsia" w:hAnsiTheme="minorHAnsi"/>
        </w:rPr>
        <w:t>(</w:t>
      </w:r>
      <w:proofErr w:type="gramEnd"/>
      <w:r w:rsidRPr="00180D33">
        <w:rPr>
          <w:rStyle w:val="mord"/>
          <w:rFonts w:asciiTheme="minorHAnsi" w:eastAsiaTheme="majorEastAsia" w:hAnsiTheme="minorHAnsi"/>
        </w:rPr>
        <w:t>19</w:t>
      </w:r>
      <w:r w:rsidRPr="00180D33">
        <w:rPr>
          <w:rStyle w:val="mclose"/>
          <w:rFonts w:asciiTheme="minorHAnsi" w:hAnsiTheme="minorHAnsi"/>
        </w:rPr>
        <w:t>)</w:t>
      </w:r>
      <w:r w:rsidRPr="00180D33">
        <w:rPr>
          <w:rStyle w:val="mrel"/>
          <w:rFonts w:asciiTheme="minorHAnsi" w:hAnsiTheme="minorHAnsi"/>
        </w:rPr>
        <w:t>=</w:t>
      </w:r>
      <w:r w:rsidRPr="00180D33">
        <w:rPr>
          <w:rStyle w:val="mord"/>
          <w:rFonts w:asciiTheme="minorHAnsi" w:eastAsiaTheme="majorEastAsia" w:hAnsiTheme="minorHAnsi"/>
        </w:rPr>
        <w:t>10</w:t>
      </w:r>
      <w:r w:rsidRPr="00180D33">
        <w:rPr>
          <w:rFonts w:asciiTheme="minorHAnsi" w:hAnsiTheme="minorHAnsi"/>
        </w:rPr>
        <w:t xml:space="preserve"> proves to be correct, we can avoid the additional computation required if we were to test </w:t>
      </w:r>
      <w:r w:rsidRPr="00180D33">
        <w:rPr>
          <w:rStyle w:val="mord"/>
          <w:rFonts w:asciiTheme="minorHAnsi" w:eastAsiaTheme="majorEastAsia" w:hAnsiTheme="minorHAnsi"/>
        </w:rPr>
        <w:t>γ</w:t>
      </w:r>
      <w:r w:rsidRPr="00180D33">
        <w:rPr>
          <w:rStyle w:val="mopen"/>
          <w:rFonts w:asciiTheme="minorHAnsi" w:eastAsiaTheme="majorEastAsia" w:hAnsiTheme="minorHAnsi"/>
        </w:rPr>
        <w:t>(</w:t>
      </w:r>
      <w:r w:rsidRPr="00180D33">
        <w:rPr>
          <w:rStyle w:val="mord"/>
          <w:rFonts w:asciiTheme="minorHAnsi" w:eastAsiaTheme="majorEastAsia" w:hAnsiTheme="minorHAnsi"/>
        </w:rPr>
        <w:t>19</w:t>
      </w:r>
      <w:r w:rsidRPr="00180D33">
        <w:rPr>
          <w:rStyle w:val="mclose"/>
          <w:rFonts w:asciiTheme="minorHAnsi" w:hAnsiTheme="minorHAnsi"/>
        </w:rPr>
        <w:t>)</w:t>
      </w:r>
      <w:r w:rsidRPr="00180D33">
        <w:rPr>
          <w:rStyle w:val="mrel"/>
          <w:rFonts w:asciiTheme="minorHAnsi" w:hAnsiTheme="minorHAnsi"/>
        </w:rPr>
        <w:t>=</w:t>
      </w:r>
      <w:r w:rsidRPr="00180D33">
        <w:rPr>
          <w:rStyle w:val="mord"/>
          <w:rFonts w:asciiTheme="minorHAnsi" w:eastAsiaTheme="majorEastAsia" w:hAnsiTheme="minorHAnsi"/>
        </w:rPr>
        <w:t>9</w:t>
      </w:r>
      <w:r w:rsidRPr="00180D33">
        <w:rPr>
          <w:rFonts w:asciiTheme="minorHAnsi" w:hAnsiTheme="minorHAnsi"/>
        </w:rPr>
        <w:t xml:space="preserve"> first. Should our assumption be incorrect and </w:t>
      </w:r>
      <w:proofErr w:type="gramStart"/>
      <w:r w:rsidRPr="00180D33">
        <w:rPr>
          <w:rStyle w:val="mord"/>
          <w:rFonts w:asciiTheme="minorHAnsi" w:eastAsiaTheme="majorEastAsia" w:hAnsiTheme="minorHAnsi"/>
        </w:rPr>
        <w:t>γ</w:t>
      </w:r>
      <w:r w:rsidRPr="00180D33">
        <w:rPr>
          <w:rStyle w:val="mopen"/>
          <w:rFonts w:asciiTheme="minorHAnsi" w:eastAsiaTheme="majorEastAsia" w:hAnsiTheme="minorHAnsi"/>
        </w:rPr>
        <w:t>(</w:t>
      </w:r>
      <w:proofErr w:type="gramEnd"/>
      <w:r w:rsidRPr="00180D33">
        <w:rPr>
          <w:rStyle w:val="mord"/>
          <w:rFonts w:asciiTheme="minorHAnsi" w:eastAsiaTheme="majorEastAsia" w:hAnsiTheme="minorHAnsi"/>
        </w:rPr>
        <w:t>19</w:t>
      </w:r>
      <w:r w:rsidRPr="00180D33">
        <w:rPr>
          <w:rStyle w:val="mclose"/>
          <w:rFonts w:asciiTheme="minorHAnsi" w:hAnsiTheme="minorHAnsi"/>
        </w:rPr>
        <w:t>)</w:t>
      </w:r>
      <w:r w:rsidRPr="00180D33">
        <w:rPr>
          <w:rFonts w:asciiTheme="minorHAnsi" w:hAnsiTheme="minorHAnsi"/>
        </w:rPr>
        <w:t xml:space="preserve"> turn out to be 9, we can still determine all satisfying solutions of size 9 with relatively minimal additional computation. This strategy helps us manage our resources efficiently while addressing the problem.</w:t>
      </w:r>
    </w:p>
    <w:p w14:paraId="16B08C13" w14:textId="7DEF69CB" w:rsidR="00A725C4" w:rsidRPr="00180D33" w:rsidRDefault="00A725C4" w:rsidP="00A725C4">
      <w:pPr>
        <w:jc w:val="both"/>
      </w:pPr>
      <w:r w:rsidRPr="00A725C4">
        <w:t>The opportunistic approach we propose is as follows:</w:t>
      </w:r>
    </w:p>
    <w:p w14:paraId="2FABE94F" w14:textId="0D942D6D" w:rsidR="00823F47" w:rsidRPr="00180D33" w:rsidRDefault="00823F47" w:rsidP="002E3186">
      <w:pPr>
        <w:pStyle w:val="ListParagraph"/>
        <w:numPr>
          <w:ilvl w:val="0"/>
          <w:numId w:val="2"/>
        </w:numPr>
        <w:jc w:val="both"/>
      </w:pPr>
      <w:r w:rsidRPr="00180D33">
        <w:t xml:space="preserve">Assume </w:t>
      </w:r>
      <w:proofErr w:type="gramStart"/>
      <w:r w:rsidRPr="00180D33">
        <w:t>γ(</w:t>
      </w:r>
      <w:proofErr w:type="gramEnd"/>
      <w:r w:rsidRPr="00180D33">
        <w:t>19) is 10 and encode the problem into SAT.</w:t>
      </w:r>
    </w:p>
    <w:p w14:paraId="531BFB69" w14:textId="546F56C8" w:rsidR="00CB6ABE" w:rsidRPr="00180D33" w:rsidRDefault="004E76B5" w:rsidP="002E3186">
      <w:pPr>
        <w:pStyle w:val="ListParagraph"/>
        <w:numPr>
          <w:ilvl w:val="0"/>
          <w:numId w:val="2"/>
        </w:numPr>
        <w:jc w:val="both"/>
      </w:pPr>
      <w:r w:rsidRPr="00180D33">
        <w:t>Since this instance is known to be satisfiable, perform model enumeration on it.</w:t>
      </w:r>
    </w:p>
    <w:p w14:paraId="3C848127" w14:textId="665DB40B" w:rsidR="00A6773D" w:rsidRPr="00180D33" w:rsidRDefault="005573F9" w:rsidP="002E3186">
      <w:pPr>
        <w:pStyle w:val="ListParagraph"/>
        <w:numPr>
          <w:ilvl w:val="0"/>
          <w:numId w:val="2"/>
        </w:numPr>
        <w:jc w:val="both"/>
      </w:pPr>
      <w:r w:rsidRPr="00180D33">
        <w:t xml:space="preserve">Check each solution for redundancy (i.e., </w:t>
      </w:r>
      <w:r w:rsidR="005F5831">
        <w:t>check</w:t>
      </w:r>
      <w:r w:rsidRPr="00180D33">
        <w:t xml:space="preserve"> if removing a queen still maintains a domination set).</w:t>
      </w:r>
    </w:p>
    <w:p w14:paraId="4F3348B8" w14:textId="6AE70C8E" w:rsidR="00374E7D" w:rsidRDefault="00A07A28" w:rsidP="002E3186">
      <w:pPr>
        <w:pStyle w:val="ListParagraph"/>
        <w:numPr>
          <w:ilvl w:val="0"/>
          <w:numId w:val="2"/>
        </w:numPr>
        <w:jc w:val="both"/>
      </w:pPr>
      <w:r w:rsidRPr="00180D33">
        <w:lastRenderedPageBreak/>
        <w:t xml:space="preserve"> </w:t>
      </w:r>
      <w:r w:rsidR="00133813" w:rsidRPr="00180D33">
        <w:t xml:space="preserve">If no solutions are redundant, then </w:t>
      </w:r>
      <w:proofErr w:type="gramStart"/>
      <w:r w:rsidR="00133813" w:rsidRPr="00180D33">
        <w:t>γ(</w:t>
      </w:r>
      <w:proofErr w:type="gramEnd"/>
      <w:r w:rsidR="00133813" w:rsidRPr="00180D33">
        <w:t xml:space="preserve">19) is 10. If redundant solutions are found, then </w:t>
      </w:r>
      <w:proofErr w:type="gramStart"/>
      <w:r w:rsidR="00133813" w:rsidRPr="00180D33">
        <w:t>γ(</w:t>
      </w:r>
      <w:proofErr w:type="gramEnd"/>
      <w:r w:rsidR="00133813" w:rsidRPr="00180D33">
        <w:t>19) is 9, and removing redundant queens from all redundant solutions will yield the model enumeration for γ(19)=9.</w:t>
      </w:r>
    </w:p>
    <w:p w14:paraId="01982F5C" w14:textId="77777777" w:rsidR="00437D84" w:rsidRDefault="00437D84" w:rsidP="00437D84">
      <w:pPr>
        <w:ind w:left="360"/>
        <w:jc w:val="both"/>
      </w:pPr>
    </w:p>
    <w:p w14:paraId="7784647B" w14:textId="3F232E32" w:rsidR="003C6062" w:rsidRPr="003C6062" w:rsidRDefault="003C6062" w:rsidP="003C6062">
      <w:pPr>
        <w:ind w:left="360"/>
        <w:jc w:val="both"/>
      </w:pPr>
      <w:r w:rsidRPr="003C6062">
        <w:t xml:space="preserve">In the </w:t>
      </w:r>
      <w:r w:rsidRPr="003C6062">
        <w:rPr>
          <w:highlight w:val="lightGray"/>
        </w:rPr>
        <w:t>n_19_gamma_10_stat_results.json</w:t>
      </w:r>
      <w:r w:rsidRPr="003C6062">
        <w:t xml:space="preserve"> file, cubes generated from a single call (referred to as round 0 of cube generation) to the cube generator </w:t>
      </w:r>
      <w:proofErr w:type="spellStart"/>
      <w:r w:rsidRPr="003C6062">
        <w:rPr>
          <w:highlight w:val="lightGray"/>
        </w:rPr>
        <w:t>march_cu</w:t>
      </w:r>
      <w:proofErr w:type="spellEnd"/>
      <w:r w:rsidRPr="003C6062">
        <w:t xml:space="preserve"> are stored. For a large instance like model enumeration with n=19, we observed that some cubes consumed more resources—such as time</w:t>
      </w:r>
      <w:r w:rsidR="00675A62">
        <w:t xml:space="preserve"> and </w:t>
      </w:r>
      <w:proofErr w:type="spellStart"/>
      <w:r w:rsidR="00675A62">
        <w:t>sapce</w:t>
      </w:r>
      <w:proofErr w:type="spellEnd"/>
      <w:r w:rsidRPr="003C6062">
        <w:t>—than acceptable, while many others performed as expected. For cubes that did not meet our expectations, we recursively split them further in subsequent rounds.</w:t>
      </w:r>
    </w:p>
    <w:p w14:paraId="2D0FC164" w14:textId="77777777" w:rsidR="003C6062" w:rsidRPr="003C6062" w:rsidRDefault="003C6062" w:rsidP="003C6062">
      <w:pPr>
        <w:ind w:left="360"/>
        <w:jc w:val="both"/>
      </w:pPr>
      <w:r w:rsidRPr="003C6062">
        <w:t>Unfortunately, we did not save the cubes generated in these subsequent rounds but only recorded some statistics on their performance. This was a mistake on my part when designing the experiment, as I did not consider saving all relevant information. As a result, some details are missing, although the remaining information is still sufficient to report the solver's performance when solving the instance.</w:t>
      </w:r>
    </w:p>
    <w:p w14:paraId="507AD2CC" w14:textId="77777777" w:rsidR="003C6062" w:rsidRPr="003C6062" w:rsidRDefault="003C6062" w:rsidP="003C6062">
      <w:pPr>
        <w:ind w:left="360"/>
        <w:jc w:val="both"/>
      </w:pPr>
      <w:r w:rsidRPr="003C6062">
        <w:t>Additionally, storing and sharing resolution proofs requires substantial storage. Therefore, we followed a common practice in the literature: after verifying the SAT solver's output for the instance, we deleted the proof to conserve memory.</w:t>
      </w:r>
    </w:p>
    <w:p w14:paraId="12F5C22A" w14:textId="77777777" w:rsidR="003C6062" w:rsidRPr="003C6062" w:rsidRDefault="003C6062" w:rsidP="003C6062">
      <w:pPr>
        <w:ind w:left="360"/>
        <w:jc w:val="both"/>
      </w:pPr>
      <w:r w:rsidRPr="003C6062">
        <w:t>There were a few cubes for which the SAT solver's output could not be verified or was incorrect. Assuming that any bugs were likely in the SAT solver rather than the verification process, we reran the SAT solver multiple times with different configurations and attempted to verify the instances. This approach successfully resolved the issues, leading to correct solutions and verification of the cubes, albeit with increased computational cost. Unfortunately, we did not track or mark these specific cubes, nor did we record the number of retries or the additional computations required. The statistics provided pertain only to the final successful run.</w:t>
      </w:r>
    </w:p>
    <w:p w14:paraId="266C5DC7" w14:textId="22086E53" w:rsidR="006E60B2" w:rsidRDefault="008B6CD5" w:rsidP="008B6CD5">
      <w:pPr>
        <w:ind w:left="360"/>
        <w:jc w:val="both"/>
      </w:pPr>
      <w:r w:rsidRPr="008B6CD5">
        <w:t xml:space="preserve">The </w:t>
      </w:r>
      <w:r w:rsidRPr="00AD7ECA">
        <w:rPr>
          <w:highlight w:val="lightGray"/>
        </w:rPr>
        <w:t>n_19_gamma_10_stat_results.json</w:t>
      </w:r>
      <w:r w:rsidRPr="008B6CD5">
        <w:t xml:space="preserve"> file contains several key pieces of information, </w:t>
      </w:r>
      <w:r w:rsidR="00702269">
        <w:t xml:space="preserve">currently, </w:t>
      </w:r>
      <w:r w:rsidRPr="008B6CD5">
        <w:t xml:space="preserve">organized under the following keys: </w:t>
      </w:r>
      <w:r w:rsidR="005B5F62" w:rsidRPr="005B5F62">
        <w:rPr>
          <w:highlight w:val="lightGray"/>
        </w:rPr>
        <w:t>'</w:t>
      </w:r>
      <w:r w:rsidRPr="005B5F62">
        <w:rPr>
          <w:highlight w:val="lightGray"/>
        </w:rPr>
        <w:t>models</w:t>
      </w:r>
      <w:r w:rsidR="005B5F62" w:rsidRPr="005B5F62">
        <w:rPr>
          <w:highlight w:val="lightGray"/>
        </w:rPr>
        <w:t>'</w:t>
      </w:r>
      <w:r w:rsidRPr="008B6CD5">
        <w:t xml:space="preserve">, </w:t>
      </w:r>
      <w:r w:rsidR="005B5F62" w:rsidRPr="005B5F62">
        <w:rPr>
          <w:highlight w:val="lightGray"/>
        </w:rPr>
        <w:t>'</w:t>
      </w:r>
      <w:proofErr w:type="spellStart"/>
      <w:r w:rsidRPr="005B5F62">
        <w:rPr>
          <w:highlight w:val="lightGray"/>
        </w:rPr>
        <w:t>model_enum_formula</w:t>
      </w:r>
      <w:proofErr w:type="spellEnd"/>
      <w:r w:rsidR="005B5F62" w:rsidRPr="005B5F62">
        <w:rPr>
          <w:highlight w:val="lightGray"/>
        </w:rPr>
        <w:t>'</w:t>
      </w:r>
      <w:r w:rsidRPr="008B6CD5">
        <w:t xml:space="preserve">, and </w:t>
      </w:r>
      <w:r w:rsidR="005B5F62" w:rsidRPr="005B5F62">
        <w:rPr>
          <w:highlight w:val="lightGray"/>
        </w:rPr>
        <w:t>'</w:t>
      </w:r>
      <w:r w:rsidRPr="005B5F62">
        <w:rPr>
          <w:highlight w:val="lightGray"/>
        </w:rPr>
        <w:t>cubes</w:t>
      </w:r>
      <w:r w:rsidR="005B5F62" w:rsidRPr="005B5F62">
        <w:rPr>
          <w:highlight w:val="lightGray"/>
        </w:rPr>
        <w:t>'</w:t>
      </w:r>
      <w:r w:rsidR="003942A5" w:rsidRPr="003C6062">
        <w:t>.</w:t>
      </w:r>
    </w:p>
    <w:p w14:paraId="11DC8F2F" w14:textId="362CFAE4" w:rsidR="0094061A" w:rsidRDefault="005B5F62" w:rsidP="0094061A">
      <w:pPr>
        <w:numPr>
          <w:ilvl w:val="0"/>
          <w:numId w:val="5"/>
        </w:numPr>
        <w:jc w:val="both"/>
      </w:pPr>
      <w:r w:rsidRPr="005B5F62">
        <w:rPr>
          <w:highlight w:val="lightGray"/>
        </w:rPr>
        <w:t>'</w:t>
      </w:r>
      <w:r w:rsidR="0094061A" w:rsidRPr="005B5F62">
        <w:rPr>
          <w:highlight w:val="lightGray"/>
        </w:rPr>
        <w:t>models</w:t>
      </w:r>
      <w:r w:rsidRPr="005B5F62">
        <w:rPr>
          <w:highlight w:val="lightGray"/>
        </w:rPr>
        <w:t>'</w:t>
      </w:r>
      <w:r w:rsidR="0094061A">
        <w:t>:</w:t>
      </w:r>
      <w:r w:rsidR="0094061A" w:rsidRPr="003C6062">
        <w:t xml:space="preserve"> </w:t>
      </w:r>
      <w:r w:rsidR="0094061A" w:rsidRPr="008675A4">
        <w:t>This section provides access to the models found during model enumeration for n=19 and gamma=10.</w:t>
      </w:r>
    </w:p>
    <w:p w14:paraId="297F40B2" w14:textId="4E256B83" w:rsidR="00D107C7" w:rsidRDefault="005B5F62" w:rsidP="00D107C7">
      <w:pPr>
        <w:pStyle w:val="ListParagraph"/>
        <w:numPr>
          <w:ilvl w:val="0"/>
          <w:numId w:val="5"/>
        </w:numPr>
        <w:jc w:val="both"/>
      </w:pPr>
      <w:r w:rsidRPr="00097852">
        <w:rPr>
          <w:highlight w:val="lightGray"/>
        </w:rPr>
        <w:t>'</w:t>
      </w:r>
      <w:proofErr w:type="spellStart"/>
      <w:proofErr w:type="gramStart"/>
      <w:r w:rsidR="00D107C7" w:rsidRPr="00097852">
        <w:rPr>
          <w:highlight w:val="lightGray"/>
        </w:rPr>
        <w:t>model</w:t>
      </w:r>
      <w:proofErr w:type="gramEnd"/>
      <w:r w:rsidR="00D107C7" w:rsidRPr="00097852">
        <w:rPr>
          <w:highlight w:val="lightGray"/>
        </w:rPr>
        <w:t>_enum_formula</w:t>
      </w:r>
      <w:proofErr w:type="spellEnd"/>
      <w:r w:rsidRPr="00097852">
        <w:rPr>
          <w:highlight w:val="lightGray"/>
        </w:rPr>
        <w:t>'</w:t>
      </w:r>
      <w:r w:rsidR="00D107C7" w:rsidRPr="00FB4D08">
        <w:t xml:space="preserve">: This key contains the SAT formula for n=19 and gamma=10, concatenated with the </w:t>
      </w:r>
      <w:r w:rsidR="00544549">
        <w:t xml:space="preserve">negation of the </w:t>
      </w:r>
      <w:r w:rsidR="00D107C7" w:rsidRPr="00FB4D08">
        <w:t xml:space="preserve">models found. This combined formula is what </w:t>
      </w:r>
      <w:r w:rsidR="00D107C7" w:rsidRPr="00FB4D08">
        <w:lastRenderedPageBreak/>
        <w:t>we pass to the solver to verify that no other solutions exist beyond those stored in models.</w:t>
      </w:r>
    </w:p>
    <w:p w14:paraId="5020B56A" w14:textId="60725456" w:rsidR="0094061A" w:rsidRDefault="005B5F62" w:rsidP="00790030">
      <w:pPr>
        <w:pStyle w:val="ListParagraph"/>
        <w:numPr>
          <w:ilvl w:val="0"/>
          <w:numId w:val="5"/>
        </w:numPr>
        <w:jc w:val="both"/>
      </w:pPr>
      <w:r w:rsidRPr="00097852">
        <w:rPr>
          <w:highlight w:val="lightGray"/>
        </w:rPr>
        <w:t>'</w:t>
      </w:r>
      <w:r w:rsidR="00D107C7" w:rsidRPr="00097852">
        <w:rPr>
          <w:highlight w:val="lightGray"/>
        </w:rPr>
        <w:t>cubes</w:t>
      </w:r>
      <w:r w:rsidRPr="00097852">
        <w:rPr>
          <w:highlight w:val="lightGray"/>
        </w:rPr>
        <w:t>'</w:t>
      </w:r>
      <w:r w:rsidR="00D107C7" w:rsidRPr="00985F10">
        <w:t xml:space="preserve">: This section stores the cubes generated from a single call to the cube generator </w:t>
      </w:r>
      <w:proofErr w:type="spellStart"/>
      <w:r w:rsidR="00D107C7" w:rsidRPr="00731699">
        <w:rPr>
          <w:highlight w:val="lightGray"/>
        </w:rPr>
        <w:t>march_cu</w:t>
      </w:r>
      <w:proofErr w:type="spellEnd"/>
      <w:r w:rsidR="00D107C7" w:rsidRPr="00985F10">
        <w:t>, referred to as round 0 of cube generation.</w:t>
      </w:r>
    </w:p>
    <w:p w14:paraId="792687DE" w14:textId="781C9C32" w:rsidR="003C6062" w:rsidRPr="003C6062" w:rsidRDefault="00CC2FBF" w:rsidP="00CC2FBF">
      <w:pPr>
        <w:ind w:left="360"/>
        <w:jc w:val="both"/>
      </w:pPr>
      <w:r w:rsidRPr="00CC2FBF">
        <w:t xml:space="preserve">Each cube within the </w:t>
      </w:r>
      <w:r w:rsidR="006354C2" w:rsidRPr="00097852">
        <w:rPr>
          <w:highlight w:val="lightGray"/>
        </w:rPr>
        <w:t>'cubes'</w:t>
      </w:r>
      <w:r w:rsidRPr="00CC2FBF">
        <w:t xml:space="preserve"> section is identified by a unique cube ID. If you load this file into Python and store it in a variable named data, each cube ID in data['cubes'] contains a dictionary with the following information</w:t>
      </w:r>
      <w:r w:rsidR="003C6062" w:rsidRPr="003C6062">
        <w:t>:</w:t>
      </w:r>
    </w:p>
    <w:p w14:paraId="56373BD8" w14:textId="7DCE79A5" w:rsidR="003C6062" w:rsidRPr="003C6062" w:rsidRDefault="00410B58" w:rsidP="00E94E0D">
      <w:pPr>
        <w:numPr>
          <w:ilvl w:val="0"/>
          <w:numId w:val="5"/>
        </w:numPr>
        <w:jc w:val="both"/>
      </w:pPr>
      <w:r>
        <w:rPr>
          <w:highlight w:val="lightGray"/>
        </w:rPr>
        <w:t>d</w:t>
      </w:r>
      <w:r w:rsidR="003C6062" w:rsidRPr="003C6062">
        <w:rPr>
          <w:highlight w:val="lightGray"/>
        </w:rPr>
        <w:t>ata</w:t>
      </w:r>
      <w:r>
        <w:rPr>
          <w:highlight w:val="lightGray"/>
        </w:rPr>
        <w:t>[</w:t>
      </w:r>
      <w:r w:rsidRPr="003C6062">
        <w:rPr>
          <w:highlight w:val="lightGray"/>
        </w:rPr>
        <w:t>'cube</w:t>
      </w:r>
      <w:r>
        <w:rPr>
          <w:highlight w:val="lightGray"/>
        </w:rPr>
        <w:t>s</w:t>
      </w:r>
      <w:proofErr w:type="gramStart"/>
      <w:r w:rsidRPr="003C6062">
        <w:rPr>
          <w:highlight w:val="lightGray"/>
        </w:rPr>
        <w:t>'</w:t>
      </w:r>
      <w:r>
        <w:rPr>
          <w:highlight w:val="lightGray"/>
        </w:rPr>
        <w:t>]</w:t>
      </w:r>
      <w:r w:rsidR="003C6062" w:rsidRPr="003C6062">
        <w:rPr>
          <w:highlight w:val="lightGray"/>
        </w:rPr>
        <w:t>[</w:t>
      </w:r>
      <w:proofErr w:type="spellStart"/>
      <w:proofErr w:type="gramEnd"/>
      <w:r w:rsidR="003C6062" w:rsidRPr="003C6062">
        <w:rPr>
          <w:highlight w:val="lightGray"/>
        </w:rPr>
        <w:t>cube_id</w:t>
      </w:r>
      <w:proofErr w:type="spellEnd"/>
      <w:r w:rsidR="003C6062" w:rsidRPr="003C6062">
        <w:rPr>
          <w:highlight w:val="lightGray"/>
        </w:rPr>
        <w:t>]['cube']</w:t>
      </w:r>
      <w:r w:rsidR="003C6062" w:rsidRPr="003C6062">
        <w:t xml:space="preserve">: </w:t>
      </w:r>
      <w:r w:rsidR="00E94E0D" w:rsidRPr="00E94E0D">
        <w:t xml:space="preserve">A list of unit clauses </w:t>
      </w:r>
      <w:r w:rsidR="0023010E">
        <w:t>representing</w:t>
      </w:r>
      <w:r w:rsidR="00E94E0D" w:rsidRPr="00E94E0D">
        <w:t xml:space="preserve"> the cube itself.</w:t>
      </w:r>
    </w:p>
    <w:p w14:paraId="1FFFB266" w14:textId="6A191201" w:rsidR="003C6062" w:rsidRPr="003C6062" w:rsidRDefault="003C6062" w:rsidP="003C6062">
      <w:pPr>
        <w:numPr>
          <w:ilvl w:val="0"/>
          <w:numId w:val="5"/>
        </w:numPr>
        <w:jc w:val="both"/>
      </w:pPr>
      <w:r w:rsidRPr="003C6062">
        <w:rPr>
          <w:highlight w:val="lightGray"/>
        </w:rPr>
        <w:t>data</w:t>
      </w:r>
      <w:r w:rsidR="00EB6305">
        <w:rPr>
          <w:highlight w:val="lightGray"/>
        </w:rPr>
        <w:t>[</w:t>
      </w:r>
      <w:r w:rsidR="00EB6305" w:rsidRPr="003C6062">
        <w:rPr>
          <w:highlight w:val="lightGray"/>
        </w:rPr>
        <w:t>'cube</w:t>
      </w:r>
      <w:r w:rsidR="00EB6305">
        <w:rPr>
          <w:highlight w:val="lightGray"/>
        </w:rPr>
        <w:t>s</w:t>
      </w:r>
      <w:proofErr w:type="gramStart"/>
      <w:r w:rsidR="00EB6305" w:rsidRPr="003C6062">
        <w:rPr>
          <w:highlight w:val="lightGray"/>
        </w:rPr>
        <w:t>'</w:t>
      </w:r>
      <w:r w:rsidR="00EB6305">
        <w:rPr>
          <w:highlight w:val="lightGray"/>
        </w:rPr>
        <w:t>]</w:t>
      </w:r>
      <w:r w:rsidRPr="003C6062">
        <w:rPr>
          <w:highlight w:val="lightGray"/>
        </w:rPr>
        <w:t>[</w:t>
      </w:r>
      <w:proofErr w:type="spellStart"/>
      <w:proofErr w:type="gramEnd"/>
      <w:r w:rsidRPr="003C6062">
        <w:rPr>
          <w:highlight w:val="lightGray"/>
        </w:rPr>
        <w:t>cube_id</w:t>
      </w:r>
      <w:proofErr w:type="spellEnd"/>
      <w:r w:rsidRPr="003C6062">
        <w:rPr>
          <w:highlight w:val="lightGray"/>
        </w:rPr>
        <w:t>]['</w:t>
      </w:r>
      <w:proofErr w:type="spellStart"/>
      <w:r w:rsidRPr="003C6062">
        <w:rPr>
          <w:highlight w:val="lightGray"/>
        </w:rPr>
        <w:t>DRAT_Proof_Size_Bytes</w:t>
      </w:r>
      <w:proofErr w:type="spellEnd"/>
      <w:r w:rsidRPr="003C6062">
        <w:rPr>
          <w:highlight w:val="lightGray"/>
        </w:rPr>
        <w:t>']</w:t>
      </w:r>
      <w:r w:rsidRPr="003C6062">
        <w:t xml:space="preserve">: A list of proof sizes. If empty, this may indicate that the instance has not been solved yet or that we used on-the-fly verification instead of writing the proof to a file, so there is no proof for this cube yet. If there is exactly one item in the list, it means the corresponding cube was solved without further splitting in subsequent rounds. Otherwise, it means that the cube was split further (though the exact </w:t>
      </w:r>
      <w:proofErr w:type="spellStart"/>
      <w:r w:rsidRPr="003C6062">
        <w:t>subcubes</w:t>
      </w:r>
      <w:proofErr w:type="spellEnd"/>
      <w:r w:rsidRPr="003C6062">
        <w:t xml:space="preserve"> were not saved), and each item in the list corresponds to the proof size of each </w:t>
      </w:r>
      <w:proofErr w:type="spellStart"/>
      <w:r w:rsidRPr="003C6062">
        <w:t>subcube</w:t>
      </w:r>
      <w:proofErr w:type="spellEnd"/>
      <w:r w:rsidRPr="003C6062">
        <w:t>.</w:t>
      </w:r>
    </w:p>
    <w:p w14:paraId="2F6BC03B" w14:textId="33DE0E71" w:rsidR="003C6062" w:rsidRPr="003C6062" w:rsidRDefault="003C6062" w:rsidP="003C6062">
      <w:pPr>
        <w:numPr>
          <w:ilvl w:val="0"/>
          <w:numId w:val="5"/>
        </w:numPr>
        <w:jc w:val="both"/>
      </w:pPr>
      <w:r w:rsidRPr="003C6062">
        <w:rPr>
          <w:highlight w:val="lightGray"/>
        </w:rPr>
        <w:t>data</w:t>
      </w:r>
      <w:r w:rsidR="00EB6305">
        <w:rPr>
          <w:highlight w:val="lightGray"/>
        </w:rPr>
        <w:t>[</w:t>
      </w:r>
      <w:r w:rsidR="00EB6305" w:rsidRPr="003C6062">
        <w:rPr>
          <w:highlight w:val="lightGray"/>
        </w:rPr>
        <w:t>'cube</w:t>
      </w:r>
      <w:r w:rsidR="00EB6305">
        <w:rPr>
          <w:highlight w:val="lightGray"/>
        </w:rPr>
        <w:t>s</w:t>
      </w:r>
      <w:proofErr w:type="gramStart"/>
      <w:r w:rsidR="00EB6305" w:rsidRPr="003C6062">
        <w:rPr>
          <w:highlight w:val="lightGray"/>
        </w:rPr>
        <w:t>'</w:t>
      </w:r>
      <w:r w:rsidR="00EB6305">
        <w:rPr>
          <w:highlight w:val="lightGray"/>
        </w:rPr>
        <w:t>]</w:t>
      </w:r>
      <w:r w:rsidRPr="003C6062">
        <w:rPr>
          <w:highlight w:val="lightGray"/>
        </w:rPr>
        <w:t>[</w:t>
      </w:r>
      <w:proofErr w:type="spellStart"/>
      <w:proofErr w:type="gramEnd"/>
      <w:r w:rsidRPr="003C6062">
        <w:rPr>
          <w:highlight w:val="lightGray"/>
        </w:rPr>
        <w:t>cube_id</w:t>
      </w:r>
      <w:proofErr w:type="spellEnd"/>
      <w:r w:rsidRPr="003C6062">
        <w:rPr>
          <w:highlight w:val="lightGray"/>
        </w:rPr>
        <w:t>]['</w:t>
      </w:r>
      <w:proofErr w:type="spellStart"/>
      <w:r w:rsidRPr="003C6062">
        <w:rPr>
          <w:highlight w:val="lightGray"/>
        </w:rPr>
        <w:t>Total_Process_Time_Seconds</w:t>
      </w:r>
      <w:proofErr w:type="spellEnd"/>
      <w:r w:rsidRPr="003C6062">
        <w:rPr>
          <w:highlight w:val="lightGray"/>
        </w:rPr>
        <w:t>']</w:t>
      </w:r>
      <w:r w:rsidRPr="003C6062">
        <w:t xml:space="preserve">: A list of process times in seconds for the cube itself (if it was resolved), and for the </w:t>
      </w:r>
      <w:proofErr w:type="spellStart"/>
      <w:r w:rsidRPr="003C6062">
        <w:t>subcubes</w:t>
      </w:r>
      <w:proofErr w:type="spellEnd"/>
      <w:r w:rsidRPr="003C6062">
        <w:t xml:space="preserve"> if it was further split; otherwise, the list is empty if it has not been resolved yet.</w:t>
      </w:r>
    </w:p>
    <w:p w14:paraId="53BA74B8" w14:textId="597AE1F5" w:rsidR="003C6062" w:rsidRPr="003C6062" w:rsidRDefault="003C6062" w:rsidP="003C6062">
      <w:pPr>
        <w:numPr>
          <w:ilvl w:val="0"/>
          <w:numId w:val="5"/>
        </w:numPr>
        <w:jc w:val="both"/>
      </w:pPr>
      <w:r w:rsidRPr="003C6062">
        <w:rPr>
          <w:highlight w:val="lightGray"/>
        </w:rPr>
        <w:t>data</w:t>
      </w:r>
      <w:r w:rsidR="00EB6305">
        <w:rPr>
          <w:highlight w:val="lightGray"/>
        </w:rPr>
        <w:t>[</w:t>
      </w:r>
      <w:r w:rsidR="00EB6305" w:rsidRPr="003C6062">
        <w:rPr>
          <w:highlight w:val="lightGray"/>
        </w:rPr>
        <w:t>'cube</w:t>
      </w:r>
      <w:r w:rsidR="00EB6305">
        <w:rPr>
          <w:highlight w:val="lightGray"/>
        </w:rPr>
        <w:t>s</w:t>
      </w:r>
      <w:proofErr w:type="gramStart"/>
      <w:r w:rsidR="00EB6305" w:rsidRPr="003C6062">
        <w:rPr>
          <w:highlight w:val="lightGray"/>
        </w:rPr>
        <w:t>'</w:t>
      </w:r>
      <w:r w:rsidR="00EB6305">
        <w:rPr>
          <w:highlight w:val="lightGray"/>
        </w:rPr>
        <w:t>]</w:t>
      </w:r>
      <w:r w:rsidRPr="003C6062">
        <w:rPr>
          <w:highlight w:val="lightGray"/>
        </w:rPr>
        <w:t>[</w:t>
      </w:r>
      <w:proofErr w:type="spellStart"/>
      <w:proofErr w:type="gramEnd"/>
      <w:r w:rsidRPr="003C6062">
        <w:rPr>
          <w:highlight w:val="lightGray"/>
        </w:rPr>
        <w:t>cube_id</w:t>
      </w:r>
      <w:proofErr w:type="spellEnd"/>
      <w:r w:rsidRPr="003C6062">
        <w:rPr>
          <w:highlight w:val="lightGray"/>
        </w:rPr>
        <w:t>]['</w:t>
      </w:r>
      <w:proofErr w:type="spellStart"/>
      <w:r w:rsidRPr="003C6062">
        <w:rPr>
          <w:highlight w:val="lightGray"/>
        </w:rPr>
        <w:t>Total_Real_Time_Seconds</w:t>
      </w:r>
      <w:proofErr w:type="spellEnd"/>
      <w:r w:rsidRPr="003C6062">
        <w:rPr>
          <w:highlight w:val="lightGray"/>
        </w:rPr>
        <w:t>']</w:t>
      </w:r>
      <w:r w:rsidRPr="003C6062">
        <w:t xml:space="preserve">: A list of real time spent resolving the cube in seconds, and for the </w:t>
      </w:r>
      <w:proofErr w:type="spellStart"/>
      <w:r w:rsidRPr="003C6062">
        <w:t>subcubes</w:t>
      </w:r>
      <w:proofErr w:type="spellEnd"/>
      <w:r w:rsidRPr="003C6062">
        <w:t xml:space="preserve"> if it was further split; otherwise, the list is empty if it has not been resolved yet.</w:t>
      </w:r>
    </w:p>
    <w:p w14:paraId="331C9627" w14:textId="006C67A7" w:rsidR="003C6062" w:rsidRPr="003C6062" w:rsidRDefault="003C6062" w:rsidP="003C6062">
      <w:pPr>
        <w:numPr>
          <w:ilvl w:val="0"/>
          <w:numId w:val="5"/>
        </w:numPr>
        <w:jc w:val="both"/>
      </w:pPr>
      <w:r w:rsidRPr="003C6062">
        <w:rPr>
          <w:highlight w:val="lightGray"/>
        </w:rPr>
        <w:t>data</w:t>
      </w:r>
      <w:r w:rsidR="009B240B">
        <w:rPr>
          <w:highlight w:val="lightGray"/>
        </w:rPr>
        <w:t>[</w:t>
      </w:r>
      <w:r w:rsidR="009B240B" w:rsidRPr="003C6062">
        <w:rPr>
          <w:highlight w:val="lightGray"/>
        </w:rPr>
        <w:t>'cube</w:t>
      </w:r>
      <w:r w:rsidR="009B240B">
        <w:rPr>
          <w:highlight w:val="lightGray"/>
        </w:rPr>
        <w:t>s</w:t>
      </w:r>
      <w:proofErr w:type="gramStart"/>
      <w:r w:rsidR="009B240B" w:rsidRPr="003C6062">
        <w:rPr>
          <w:highlight w:val="lightGray"/>
        </w:rPr>
        <w:t>'</w:t>
      </w:r>
      <w:r w:rsidR="009B240B">
        <w:rPr>
          <w:highlight w:val="lightGray"/>
        </w:rPr>
        <w:t>]</w:t>
      </w:r>
      <w:r w:rsidRPr="003C6062">
        <w:rPr>
          <w:highlight w:val="lightGray"/>
        </w:rPr>
        <w:t>[</w:t>
      </w:r>
      <w:proofErr w:type="spellStart"/>
      <w:proofErr w:type="gramEnd"/>
      <w:r w:rsidRPr="003C6062">
        <w:rPr>
          <w:highlight w:val="lightGray"/>
        </w:rPr>
        <w:t>cube_id</w:t>
      </w:r>
      <w:proofErr w:type="spellEnd"/>
      <w:r w:rsidRPr="003C6062">
        <w:rPr>
          <w:highlight w:val="lightGray"/>
        </w:rPr>
        <w:t>]['</w:t>
      </w:r>
      <w:proofErr w:type="spellStart"/>
      <w:r w:rsidRPr="003C6062">
        <w:rPr>
          <w:highlight w:val="lightGray"/>
        </w:rPr>
        <w:t>Maximum_Resident_Set_Size_MB</w:t>
      </w:r>
      <w:proofErr w:type="spellEnd"/>
      <w:r w:rsidRPr="003C6062">
        <w:rPr>
          <w:highlight w:val="lightGray"/>
        </w:rPr>
        <w:t>']</w:t>
      </w:r>
      <w:r w:rsidRPr="003C6062">
        <w:t xml:space="preserve">: A list of the maximum resident set sizes in megabytes for resolving the cube, and for the </w:t>
      </w:r>
      <w:proofErr w:type="spellStart"/>
      <w:r w:rsidRPr="003C6062">
        <w:t>subcubes</w:t>
      </w:r>
      <w:proofErr w:type="spellEnd"/>
      <w:r w:rsidRPr="003C6062">
        <w:t xml:space="preserve"> if it was further split; otherwise, the list is empty if it has not been resolved yet.</w:t>
      </w:r>
    </w:p>
    <w:p w14:paraId="6AB931CE" w14:textId="55F8505E" w:rsidR="003C6062" w:rsidRPr="003C6062" w:rsidRDefault="003C6062" w:rsidP="003C6062">
      <w:pPr>
        <w:numPr>
          <w:ilvl w:val="0"/>
          <w:numId w:val="5"/>
        </w:numPr>
        <w:jc w:val="both"/>
      </w:pPr>
      <w:r w:rsidRPr="003C6062">
        <w:rPr>
          <w:highlight w:val="lightGray"/>
        </w:rPr>
        <w:t>data</w:t>
      </w:r>
      <w:r w:rsidR="008A706E">
        <w:rPr>
          <w:highlight w:val="lightGray"/>
        </w:rPr>
        <w:t>[</w:t>
      </w:r>
      <w:r w:rsidR="008A706E" w:rsidRPr="003C6062">
        <w:rPr>
          <w:highlight w:val="lightGray"/>
        </w:rPr>
        <w:t>'cube</w:t>
      </w:r>
      <w:r w:rsidR="008A706E">
        <w:rPr>
          <w:highlight w:val="lightGray"/>
        </w:rPr>
        <w:t>s</w:t>
      </w:r>
      <w:proofErr w:type="gramStart"/>
      <w:r w:rsidR="008A706E" w:rsidRPr="003C6062">
        <w:rPr>
          <w:highlight w:val="lightGray"/>
        </w:rPr>
        <w:t>'</w:t>
      </w:r>
      <w:r w:rsidR="008A706E">
        <w:rPr>
          <w:highlight w:val="lightGray"/>
        </w:rPr>
        <w:t>]</w:t>
      </w:r>
      <w:r w:rsidRPr="003C6062">
        <w:rPr>
          <w:highlight w:val="lightGray"/>
        </w:rPr>
        <w:t>[</w:t>
      </w:r>
      <w:proofErr w:type="spellStart"/>
      <w:proofErr w:type="gramEnd"/>
      <w:r w:rsidRPr="003C6062">
        <w:rPr>
          <w:highlight w:val="lightGray"/>
        </w:rPr>
        <w:t>cube_id</w:t>
      </w:r>
      <w:proofErr w:type="spellEnd"/>
      <w:r w:rsidRPr="003C6062">
        <w:rPr>
          <w:highlight w:val="lightGray"/>
        </w:rPr>
        <w:t>]['</w:t>
      </w:r>
      <w:proofErr w:type="spellStart"/>
      <w:r w:rsidRPr="003C6062">
        <w:rPr>
          <w:highlight w:val="lightGray"/>
        </w:rPr>
        <w:t>Verification_Time_Seconds</w:t>
      </w:r>
      <w:proofErr w:type="spellEnd"/>
      <w:r w:rsidRPr="003C6062">
        <w:rPr>
          <w:highlight w:val="lightGray"/>
        </w:rPr>
        <w:t>']</w:t>
      </w:r>
      <w:r w:rsidRPr="003C6062">
        <w:t xml:space="preserve">: A list of real time spent verifying the cube in seconds, and for the </w:t>
      </w:r>
      <w:proofErr w:type="spellStart"/>
      <w:r w:rsidRPr="003C6062">
        <w:t>subcubes</w:t>
      </w:r>
      <w:proofErr w:type="spellEnd"/>
      <w:r w:rsidRPr="003C6062">
        <w:t xml:space="preserve"> if it was further split; otherwise, the list is empty if it has not been verified yet.</w:t>
      </w:r>
    </w:p>
    <w:p w14:paraId="5DB88B4B" w14:textId="77777777" w:rsidR="003C6062" w:rsidRPr="003C6062" w:rsidRDefault="003C6062" w:rsidP="003C6062">
      <w:pPr>
        <w:ind w:left="360"/>
        <w:jc w:val="both"/>
        <w:rPr>
          <w:b/>
          <w:bCs/>
        </w:rPr>
      </w:pPr>
      <w:r w:rsidRPr="003C6062">
        <w:rPr>
          <w:b/>
          <w:bCs/>
          <w:highlight w:val="yellow"/>
        </w:rPr>
        <w:t>TODO:</w:t>
      </w:r>
    </w:p>
    <w:p w14:paraId="0BC4A5D3" w14:textId="77777777" w:rsidR="003C6062" w:rsidRPr="003C6062" w:rsidRDefault="003C6062" w:rsidP="003C6062">
      <w:pPr>
        <w:numPr>
          <w:ilvl w:val="0"/>
          <w:numId w:val="6"/>
        </w:numPr>
        <w:jc w:val="both"/>
      </w:pPr>
      <w:r w:rsidRPr="003C6062">
        <w:t xml:space="preserve">I missed recording the time it took to perform model enumeration for this case using </w:t>
      </w:r>
      <w:proofErr w:type="spellStart"/>
      <w:r w:rsidRPr="003C6062">
        <w:t>Unidom</w:t>
      </w:r>
      <w:proofErr w:type="spellEnd"/>
      <w:r w:rsidRPr="003C6062">
        <w:t>. There is probably some report available in Compute Canada that I should try to locate and add to this report. However, as a reminder, it took a few hours and, in the worst case, less than a day to solve the instance, which is not significant when considering all the time spent verifying the results.</w:t>
      </w:r>
    </w:p>
    <w:p w14:paraId="121A4082" w14:textId="77777777" w:rsidR="003C6062" w:rsidRPr="003C6062" w:rsidRDefault="003C6062" w:rsidP="003C6062">
      <w:pPr>
        <w:numPr>
          <w:ilvl w:val="0"/>
          <w:numId w:val="6"/>
        </w:numPr>
        <w:jc w:val="both"/>
      </w:pPr>
      <w:r w:rsidRPr="003C6062">
        <w:lastRenderedPageBreak/>
        <w:t>I should also add the time spent on cube generation and subsequent cube generation.</w:t>
      </w:r>
    </w:p>
    <w:p w14:paraId="40F830D0" w14:textId="6A1C0CBB" w:rsidR="005B2646" w:rsidRPr="00180D33" w:rsidRDefault="003C6062" w:rsidP="005E3370">
      <w:pPr>
        <w:numPr>
          <w:ilvl w:val="0"/>
          <w:numId w:val="6"/>
        </w:numPr>
        <w:jc w:val="both"/>
      </w:pPr>
      <w:r w:rsidRPr="003C6062">
        <w:t>There remain some cubes that have not been resolved and verified yet. I need to complete this.</w:t>
      </w:r>
    </w:p>
    <w:sectPr w:rsidR="005B2646" w:rsidRPr="0018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5638"/>
    <w:multiLevelType w:val="hybridMultilevel"/>
    <w:tmpl w:val="703C1280"/>
    <w:lvl w:ilvl="0" w:tplc="1794C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93D3C"/>
    <w:multiLevelType w:val="hybridMultilevel"/>
    <w:tmpl w:val="703C1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9E1096"/>
    <w:multiLevelType w:val="hybridMultilevel"/>
    <w:tmpl w:val="5562FDAE"/>
    <w:lvl w:ilvl="0" w:tplc="8AEE5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83729"/>
    <w:multiLevelType w:val="multilevel"/>
    <w:tmpl w:val="A7D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979E4"/>
    <w:multiLevelType w:val="hybridMultilevel"/>
    <w:tmpl w:val="B1EA01D6"/>
    <w:lvl w:ilvl="0" w:tplc="38CC7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07159"/>
    <w:multiLevelType w:val="multilevel"/>
    <w:tmpl w:val="8B32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899395">
    <w:abstractNumId w:val="0"/>
  </w:num>
  <w:num w:numId="2" w16cid:durableId="1137652125">
    <w:abstractNumId w:val="4"/>
  </w:num>
  <w:num w:numId="3" w16cid:durableId="1464614364">
    <w:abstractNumId w:val="1"/>
  </w:num>
  <w:num w:numId="4" w16cid:durableId="1663315995">
    <w:abstractNumId w:val="2"/>
  </w:num>
  <w:num w:numId="5" w16cid:durableId="899292113">
    <w:abstractNumId w:val="3"/>
  </w:num>
  <w:num w:numId="6" w16cid:durableId="724988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4E"/>
    <w:rsid w:val="000134F9"/>
    <w:rsid w:val="00032F27"/>
    <w:rsid w:val="000441AD"/>
    <w:rsid w:val="000451B1"/>
    <w:rsid w:val="00053252"/>
    <w:rsid w:val="00063096"/>
    <w:rsid w:val="00065DA0"/>
    <w:rsid w:val="00097852"/>
    <w:rsid w:val="000C7D55"/>
    <w:rsid w:val="000E3B51"/>
    <w:rsid w:val="001115F9"/>
    <w:rsid w:val="00133813"/>
    <w:rsid w:val="0014008E"/>
    <w:rsid w:val="00157456"/>
    <w:rsid w:val="00180D33"/>
    <w:rsid w:val="00196A60"/>
    <w:rsid w:val="001A2122"/>
    <w:rsid w:val="001A4EDC"/>
    <w:rsid w:val="001C7370"/>
    <w:rsid w:val="0023010E"/>
    <w:rsid w:val="00234B70"/>
    <w:rsid w:val="00242BBD"/>
    <w:rsid w:val="00243A3B"/>
    <w:rsid w:val="002449EB"/>
    <w:rsid w:val="002640D3"/>
    <w:rsid w:val="002702BE"/>
    <w:rsid w:val="00275978"/>
    <w:rsid w:val="00281690"/>
    <w:rsid w:val="002B5025"/>
    <w:rsid w:val="002B5125"/>
    <w:rsid w:val="002E0EBB"/>
    <w:rsid w:val="002E3186"/>
    <w:rsid w:val="002F0DE8"/>
    <w:rsid w:val="002F20B4"/>
    <w:rsid w:val="00324534"/>
    <w:rsid w:val="0032576D"/>
    <w:rsid w:val="00360CC0"/>
    <w:rsid w:val="00365226"/>
    <w:rsid w:val="00374E7D"/>
    <w:rsid w:val="00380F4E"/>
    <w:rsid w:val="00381CD8"/>
    <w:rsid w:val="0038534B"/>
    <w:rsid w:val="00385C71"/>
    <w:rsid w:val="003942A5"/>
    <w:rsid w:val="003B7811"/>
    <w:rsid w:val="003C4114"/>
    <w:rsid w:val="003C6062"/>
    <w:rsid w:val="003F1297"/>
    <w:rsid w:val="0040599D"/>
    <w:rsid w:val="00410B58"/>
    <w:rsid w:val="00425027"/>
    <w:rsid w:val="00430260"/>
    <w:rsid w:val="00437D84"/>
    <w:rsid w:val="00445A4C"/>
    <w:rsid w:val="004739B0"/>
    <w:rsid w:val="004857E1"/>
    <w:rsid w:val="004867BB"/>
    <w:rsid w:val="00491DD8"/>
    <w:rsid w:val="00491DFB"/>
    <w:rsid w:val="004A7B23"/>
    <w:rsid w:val="004B0B06"/>
    <w:rsid w:val="004B6C82"/>
    <w:rsid w:val="004C5E46"/>
    <w:rsid w:val="004E211F"/>
    <w:rsid w:val="004E2946"/>
    <w:rsid w:val="004E520B"/>
    <w:rsid w:val="004E76B5"/>
    <w:rsid w:val="00510717"/>
    <w:rsid w:val="00544549"/>
    <w:rsid w:val="00544A82"/>
    <w:rsid w:val="00553820"/>
    <w:rsid w:val="00553F4F"/>
    <w:rsid w:val="005573F9"/>
    <w:rsid w:val="00574E0B"/>
    <w:rsid w:val="00592DA2"/>
    <w:rsid w:val="0059470F"/>
    <w:rsid w:val="005A3D77"/>
    <w:rsid w:val="005B2646"/>
    <w:rsid w:val="005B2E4D"/>
    <w:rsid w:val="005B5F62"/>
    <w:rsid w:val="005B6A16"/>
    <w:rsid w:val="005C0085"/>
    <w:rsid w:val="005C0EDA"/>
    <w:rsid w:val="005C76C9"/>
    <w:rsid w:val="005E3370"/>
    <w:rsid w:val="005E7B36"/>
    <w:rsid w:val="005F0B59"/>
    <w:rsid w:val="005F5831"/>
    <w:rsid w:val="00617624"/>
    <w:rsid w:val="00622238"/>
    <w:rsid w:val="00622BFD"/>
    <w:rsid w:val="00631FB0"/>
    <w:rsid w:val="0063389B"/>
    <w:rsid w:val="006354C2"/>
    <w:rsid w:val="00636330"/>
    <w:rsid w:val="006471F8"/>
    <w:rsid w:val="00655B07"/>
    <w:rsid w:val="00656DD5"/>
    <w:rsid w:val="00667985"/>
    <w:rsid w:val="006709CA"/>
    <w:rsid w:val="0067113F"/>
    <w:rsid w:val="00671793"/>
    <w:rsid w:val="00675A62"/>
    <w:rsid w:val="00676485"/>
    <w:rsid w:val="00677F35"/>
    <w:rsid w:val="006805E6"/>
    <w:rsid w:val="0069739E"/>
    <w:rsid w:val="006A4E87"/>
    <w:rsid w:val="006A551E"/>
    <w:rsid w:val="006B733F"/>
    <w:rsid w:val="006B7937"/>
    <w:rsid w:val="006D0EDD"/>
    <w:rsid w:val="006E60B2"/>
    <w:rsid w:val="006F20C8"/>
    <w:rsid w:val="006F400F"/>
    <w:rsid w:val="007013B6"/>
    <w:rsid w:val="00702269"/>
    <w:rsid w:val="007029FD"/>
    <w:rsid w:val="00707F9E"/>
    <w:rsid w:val="00730618"/>
    <w:rsid w:val="00731557"/>
    <w:rsid w:val="00731699"/>
    <w:rsid w:val="00744BC3"/>
    <w:rsid w:val="007634E5"/>
    <w:rsid w:val="00790030"/>
    <w:rsid w:val="00794F39"/>
    <w:rsid w:val="007A5512"/>
    <w:rsid w:val="007A7268"/>
    <w:rsid w:val="007B1BAB"/>
    <w:rsid w:val="007E14F2"/>
    <w:rsid w:val="007F465E"/>
    <w:rsid w:val="007F7B14"/>
    <w:rsid w:val="008056DB"/>
    <w:rsid w:val="008119C1"/>
    <w:rsid w:val="00816832"/>
    <w:rsid w:val="008177E8"/>
    <w:rsid w:val="00823F47"/>
    <w:rsid w:val="00827320"/>
    <w:rsid w:val="008333E1"/>
    <w:rsid w:val="008510EF"/>
    <w:rsid w:val="008675A4"/>
    <w:rsid w:val="008702B7"/>
    <w:rsid w:val="00874FB0"/>
    <w:rsid w:val="00897AA2"/>
    <w:rsid w:val="008A706E"/>
    <w:rsid w:val="008B6CD5"/>
    <w:rsid w:val="008C56A4"/>
    <w:rsid w:val="008C71A0"/>
    <w:rsid w:val="008D2302"/>
    <w:rsid w:val="00900278"/>
    <w:rsid w:val="00913003"/>
    <w:rsid w:val="00926FD7"/>
    <w:rsid w:val="009328D9"/>
    <w:rsid w:val="009350C1"/>
    <w:rsid w:val="0094061A"/>
    <w:rsid w:val="009636ED"/>
    <w:rsid w:val="00970278"/>
    <w:rsid w:val="009800EB"/>
    <w:rsid w:val="009846C3"/>
    <w:rsid w:val="00985F10"/>
    <w:rsid w:val="00994424"/>
    <w:rsid w:val="00996482"/>
    <w:rsid w:val="0099747F"/>
    <w:rsid w:val="009976DC"/>
    <w:rsid w:val="009B240B"/>
    <w:rsid w:val="009B3425"/>
    <w:rsid w:val="009B601F"/>
    <w:rsid w:val="009E1794"/>
    <w:rsid w:val="00A07A28"/>
    <w:rsid w:val="00A1193C"/>
    <w:rsid w:val="00A1440C"/>
    <w:rsid w:val="00A20B6B"/>
    <w:rsid w:val="00A30C56"/>
    <w:rsid w:val="00A43889"/>
    <w:rsid w:val="00A4756D"/>
    <w:rsid w:val="00A54237"/>
    <w:rsid w:val="00A64775"/>
    <w:rsid w:val="00A6773D"/>
    <w:rsid w:val="00A707FA"/>
    <w:rsid w:val="00A725C4"/>
    <w:rsid w:val="00A96A8C"/>
    <w:rsid w:val="00AB079E"/>
    <w:rsid w:val="00AD7ECA"/>
    <w:rsid w:val="00AE5009"/>
    <w:rsid w:val="00B12525"/>
    <w:rsid w:val="00B130FB"/>
    <w:rsid w:val="00B16D51"/>
    <w:rsid w:val="00B46EE3"/>
    <w:rsid w:val="00B57E3E"/>
    <w:rsid w:val="00BA5E9C"/>
    <w:rsid w:val="00BB64FA"/>
    <w:rsid w:val="00C01158"/>
    <w:rsid w:val="00C403C2"/>
    <w:rsid w:val="00C456C9"/>
    <w:rsid w:val="00C6551B"/>
    <w:rsid w:val="00C73F60"/>
    <w:rsid w:val="00C81214"/>
    <w:rsid w:val="00CA71EF"/>
    <w:rsid w:val="00CB1634"/>
    <w:rsid w:val="00CB34DB"/>
    <w:rsid w:val="00CB43AA"/>
    <w:rsid w:val="00CB6ABE"/>
    <w:rsid w:val="00CC2FBF"/>
    <w:rsid w:val="00CD129C"/>
    <w:rsid w:val="00CD23AB"/>
    <w:rsid w:val="00CD7D73"/>
    <w:rsid w:val="00CE5A85"/>
    <w:rsid w:val="00CF24BA"/>
    <w:rsid w:val="00D107C7"/>
    <w:rsid w:val="00D114A4"/>
    <w:rsid w:val="00D26222"/>
    <w:rsid w:val="00D35518"/>
    <w:rsid w:val="00D409BB"/>
    <w:rsid w:val="00D64965"/>
    <w:rsid w:val="00D84103"/>
    <w:rsid w:val="00D96D1F"/>
    <w:rsid w:val="00DA4064"/>
    <w:rsid w:val="00DD04CA"/>
    <w:rsid w:val="00DD06A1"/>
    <w:rsid w:val="00DE453E"/>
    <w:rsid w:val="00E2195B"/>
    <w:rsid w:val="00E303EC"/>
    <w:rsid w:val="00E45D85"/>
    <w:rsid w:val="00E46536"/>
    <w:rsid w:val="00E73696"/>
    <w:rsid w:val="00E74B0E"/>
    <w:rsid w:val="00E814DC"/>
    <w:rsid w:val="00E82E0C"/>
    <w:rsid w:val="00E84A2A"/>
    <w:rsid w:val="00E94E0D"/>
    <w:rsid w:val="00EB6305"/>
    <w:rsid w:val="00EB6C6F"/>
    <w:rsid w:val="00ED266B"/>
    <w:rsid w:val="00EF5F5E"/>
    <w:rsid w:val="00EF675B"/>
    <w:rsid w:val="00F03DC6"/>
    <w:rsid w:val="00F3136D"/>
    <w:rsid w:val="00F50FD9"/>
    <w:rsid w:val="00F718CF"/>
    <w:rsid w:val="00F96DDB"/>
    <w:rsid w:val="00FA18D8"/>
    <w:rsid w:val="00FB4D08"/>
    <w:rsid w:val="00FC254C"/>
    <w:rsid w:val="00FC33A1"/>
    <w:rsid w:val="00FC6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BF4B"/>
  <w15:chartTrackingRefBased/>
  <w15:docId w15:val="{DE6D7B12-D179-4EEB-A2B4-94C902D2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F4E"/>
    <w:rPr>
      <w:rFonts w:eastAsiaTheme="majorEastAsia" w:cstheme="majorBidi"/>
      <w:color w:val="272727" w:themeColor="text1" w:themeTint="D8"/>
    </w:rPr>
  </w:style>
  <w:style w:type="paragraph" w:styleId="Title">
    <w:name w:val="Title"/>
    <w:basedOn w:val="Normal"/>
    <w:next w:val="Normal"/>
    <w:link w:val="TitleChar"/>
    <w:uiPriority w:val="10"/>
    <w:qFormat/>
    <w:rsid w:val="00380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F4E"/>
    <w:pPr>
      <w:spacing w:before="160"/>
      <w:jc w:val="center"/>
    </w:pPr>
    <w:rPr>
      <w:i/>
      <w:iCs/>
      <w:color w:val="404040" w:themeColor="text1" w:themeTint="BF"/>
    </w:rPr>
  </w:style>
  <w:style w:type="character" w:customStyle="1" w:styleId="QuoteChar">
    <w:name w:val="Quote Char"/>
    <w:basedOn w:val="DefaultParagraphFont"/>
    <w:link w:val="Quote"/>
    <w:uiPriority w:val="29"/>
    <w:rsid w:val="00380F4E"/>
    <w:rPr>
      <w:i/>
      <w:iCs/>
      <w:color w:val="404040" w:themeColor="text1" w:themeTint="BF"/>
    </w:rPr>
  </w:style>
  <w:style w:type="paragraph" w:styleId="ListParagraph">
    <w:name w:val="List Paragraph"/>
    <w:basedOn w:val="Normal"/>
    <w:uiPriority w:val="34"/>
    <w:qFormat/>
    <w:rsid w:val="00380F4E"/>
    <w:pPr>
      <w:ind w:left="720"/>
      <w:contextualSpacing/>
    </w:pPr>
  </w:style>
  <w:style w:type="character" w:styleId="IntenseEmphasis">
    <w:name w:val="Intense Emphasis"/>
    <w:basedOn w:val="DefaultParagraphFont"/>
    <w:uiPriority w:val="21"/>
    <w:qFormat/>
    <w:rsid w:val="00380F4E"/>
    <w:rPr>
      <w:i/>
      <w:iCs/>
      <w:color w:val="0F4761" w:themeColor="accent1" w:themeShade="BF"/>
    </w:rPr>
  </w:style>
  <w:style w:type="paragraph" w:styleId="IntenseQuote">
    <w:name w:val="Intense Quote"/>
    <w:basedOn w:val="Normal"/>
    <w:next w:val="Normal"/>
    <w:link w:val="IntenseQuoteChar"/>
    <w:uiPriority w:val="30"/>
    <w:qFormat/>
    <w:rsid w:val="00380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F4E"/>
    <w:rPr>
      <w:i/>
      <w:iCs/>
      <w:color w:val="0F4761" w:themeColor="accent1" w:themeShade="BF"/>
    </w:rPr>
  </w:style>
  <w:style w:type="character" w:styleId="IntenseReference">
    <w:name w:val="Intense Reference"/>
    <w:basedOn w:val="DefaultParagraphFont"/>
    <w:uiPriority w:val="32"/>
    <w:qFormat/>
    <w:rsid w:val="00380F4E"/>
    <w:rPr>
      <w:b/>
      <w:bCs/>
      <w:smallCaps/>
      <w:color w:val="0F4761" w:themeColor="accent1" w:themeShade="BF"/>
      <w:spacing w:val="5"/>
    </w:rPr>
  </w:style>
  <w:style w:type="paragraph" w:styleId="NormalWeb">
    <w:name w:val="Normal (Web)"/>
    <w:basedOn w:val="Normal"/>
    <w:uiPriority w:val="99"/>
    <w:semiHidden/>
    <w:unhideWhenUsed/>
    <w:rsid w:val="00AE500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AE5009"/>
  </w:style>
  <w:style w:type="character" w:customStyle="1" w:styleId="mord">
    <w:name w:val="mord"/>
    <w:basedOn w:val="DefaultParagraphFont"/>
    <w:rsid w:val="00AE5009"/>
  </w:style>
  <w:style w:type="character" w:customStyle="1" w:styleId="mopen">
    <w:name w:val="mopen"/>
    <w:basedOn w:val="DefaultParagraphFont"/>
    <w:rsid w:val="00AE5009"/>
  </w:style>
  <w:style w:type="character" w:customStyle="1" w:styleId="mclose">
    <w:name w:val="mclose"/>
    <w:basedOn w:val="DefaultParagraphFont"/>
    <w:rsid w:val="00AE5009"/>
  </w:style>
  <w:style w:type="character" w:customStyle="1" w:styleId="mrel">
    <w:name w:val="mrel"/>
    <w:basedOn w:val="DefaultParagraphFont"/>
    <w:rsid w:val="00AE5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596570">
      <w:bodyDiv w:val="1"/>
      <w:marLeft w:val="0"/>
      <w:marRight w:val="0"/>
      <w:marTop w:val="0"/>
      <w:marBottom w:val="0"/>
      <w:divBdr>
        <w:top w:val="none" w:sz="0" w:space="0" w:color="auto"/>
        <w:left w:val="none" w:sz="0" w:space="0" w:color="auto"/>
        <w:bottom w:val="none" w:sz="0" w:space="0" w:color="auto"/>
        <w:right w:val="none" w:sz="0" w:space="0" w:color="auto"/>
      </w:divBdr>
    </w:div>
    <w:div w:id="937445235">
      <w:bodyDiv w:val="1"/>
      <w:marLeft w:val="0"/>
      <w:marRight w:val="0"/>
      <w:marTop w:val="0"/>
      <w:marBottom w:val="0"/>
      <w:divBdr>
        <w:top w:val="none" w:sz="0" w:space="0" w:color="auto"/>
        <w:left w:val="none" w:sz="0" w:space="0" w:color="auto"/>
        <w:bottom w:val="none" w:sz="0" w:space="0" w:color="auto"/>
        <w:right w:val="none" w:sz="0" w:space="0" w:color="auto"/>
      </w:divBdr>
    </w:div>
    <w:div w:id="978725280">
      <w:bodyDiv w:val="1"/>
      <w:marLeft w:val="0"/>
      <w:marRight w:val="0"/>
      <w:marTop w:val="0"/>
      <w:marBottom w:val="0"/>
      <w:divBdr>
        <w:top w:val="none" w:sz="0" w:space="0" w:color="auto"/>
        <w:left w:val="none" w:sz="0" w:space="0" w:color="auto"/>
        <w:bottom w:val="none" w:sz="0" w:space="0" w:color="auto"/>
        <w:right w:val="none" w:sz="0" w:space="0" w:color="auto"/>
      </w:divBdr>
    </w:div>
    <w:div w:id="1609384853">
      <w:bodyDiv w:val="1"/>
      <w:marLeft w:val="0"/>
      <w:marRight w:val="0"/>
      <w:marTop w:val="0"/>
      <w:marBottom w:val="0"/>
      <w:divBdr>
        <w:top w:val="none" w:sz="0" w:space="0" w:color="auto"/>
        <w:left w:val="none" w:sz="0" w:space="0" w:color="auto"/>
        <w:bottom w:val="none" w:sz="0" w:space="0" w:color="auto"/>
        <w:right w:val="none" w:sz="0" w:space="0" w:color="auto"/>
      </w:divBdr>
    </w:div>
    <w:div w:id="1891066459">
      <w:bodyDiv w:val="1"/>
      <w:marLeft w:val="0"/>
      <w:marRight w:val="0"/>
      <w:marTop w:val="0"/>
      <w:marBottom w:val="0"/>
      <w:divBdr>
        <w:top w:val="none" w:sz="0" w:space="0" w:color="auto"/>
        <w:left w:val="none" w:sz="0" w:space="0" w:color="auto"/>
        <w:bottom w:val="none" w:sz="0" w:space="0" w:color="auto"/>
        <w:right w:val="none" w:sz="0" w:space="0" w:color="auto"/>
      </w:divBdr>
    </w:div>
    <w:div w:id="1978611061">
      <w:bodyDiv w:val="1"/>
      <w:marLeft w:val="0"/>
      <w:marRight w:val="0"/>
      <w:marTop w:val="0"/>
      <w:marBottom w:val="0"/>
      <w:divBdr>
        <w:top w:val="none" w:sz="0" w:space="0" w:color="auto"/>
        <w:left w:val="none" w:sz="0" w:space="0" w:color="auto"/>
        <w:bottom w:val="none" w:sz="0" w:space="0" w:color="auto"/>
        <w:right w:val="none" w:sz="0" w:space="0" w:color="auto"/>
      </w:divBdr>
    </w:div>
    <w:div w:id="208787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Rostamidarounkola</dc:creator>
  <cp:keywords/>
  <dc:description/>
  <cp:lastModifiedBy>Taha Rostamidarounkola</cp:lastModifiedBy>
  <cp:revision>985</cp:revision>
  <dcterms:created xsi:type="dcterms:W3CDTF">2024-08-30T16:48:00Z</dcterms:created>
  <dcterms:modified xsi:type="dcterms:W3CDTF">2024-09-06T12:13:00Z</dcterms:modified>
</cp:coreProperties>
</file>