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75722caca27940ffc9b6a87a840940580244327"/>
    <w:p>
      <w:pPr>
        <w:pStyle w:val="Heading1"/>
      </w:pPr>
      <w:r>
        <w:t xml:space="preserve">Enterprise Fraud Intelligence &amp; Governed RAG Platform</w:t>
      </w:r>
    </w:p>
    <w:bookmarkStart w:id="9" w:name="X6b0261c285fc4fd1d956a984f60b0c8af964aa7"/>
    <w:p>
      <w:pPr>
        <w:pStyle w:val="Heading2"/>
      </w:pPr>
      <w:r>
        <w:t xml:space="preserve">FDE AS-IS / Current-State Architecture Document</w:t>
      </w:r>
    </w:p>
    <w:p>
      <w:pPr>
        <w:pStyle w:val="FirstParagraph"/>
      </w:pPr>
      <w:r>
        <w:rPr>
          <w:b/>
          <w:bCs/>
        </w:rPr>
        <w:t xml:space="preserve">Document Type:</w:t>
      </w:r>
      <w:r>
        <w:t xml:space="preserve"> </w:t>
      </w:r>
      <w:r>
        <w:t xml:space="preserve">Forward Deployed Engineering — Current-State Architecture</w:t>
      </w:r>
      <w:r>
        <w:br/>
      </w:r>
      <w:r>
        <w:rPr>
          <w:b/>
          <w:bCs/>
        </w:rPr>
        <w:t xml:space="preserve">Platform:</w:t>
      </w:r>
      <w:r>
        <w:t xml:space="preserve"> </w:t>
      </w:r>
      <w:r>
        <w:t xml:space="preserve">Databricks + Unity Catalog</w:t>
      </w:r>
      <w:r>
        <w:br/>
      </w:r>
      <w:r>
        <w:rPr>
          <w:b/>
          <w:bCs/>
        </w:rPr>
        <w:t xml:space="preserve">Primary Domains:</w:t>
      </w:r>
      <w:r>
        <w:t xml:space="preserve"> </w:t>
      </w:r>
      <w:r>
        <w:t xml:space="preserve">Fraud Analytics, Enterprise Knowledge Management, RAG, Agentic AI</w:t>
      </w:r>
      <w:r>
        <w:br/>
      </w:r>
      <w:r>
        <w:rPr>
          <w:b/>
          <w:bCs/>
        </w:rPr>
        <w:t xml:space="preserve">Architecture Status:</w:t>
      </w:r>
      <w:r>
        <w:t xml:space="preserve"> </w:t>
      </w:r>
      <w:r>
        <w:t xml:space="preserve">Current State / Discovery Baseline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The client currently operates an established enterprise fraud-processing environment supported by Databricks. Fraud data is processed through existing data-engineering pipelines and is available through governed Databricks Gold tables.</w:t>
      </w:r>
    </w:p>
    <w:p>
      <w:pPr>
        <w:pStyle w:val="BodyText"/>
      </w:pPr>
      <w:r>
        <w:t xml:space="preserve">At the same time, the organization maintains thousands of enterprise documents across multiple business domains, including fraud policies, investigation procedures, compliance documentation, operational procedures, regulatory information, customer-service documentation, and internal knowledge.</w:t>
      </w:r>
    </w:p>
    <w:p>
      <w:pPr>
        <w:pStyle w:val="BodyText"/>
      </w:pPr>
      <w:r>
        <w:t xml:space="preserve">The current environment therefore contains two major sources of enterprise intelligence:</w:t>
      </w:r>
    </w:p>
    <w:p>
      <w:pPr>
        <w:pStyle w:val="BodyText"/>
      </w:pPr>
      <w:r>
        <w:rPr>
          <w:b/>
          <w:bCs/>
        </w:rPr>
        <w:t xml:space="preserve">Structured Fraud Data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rPr>
          <w:b/>
          <w:bCs/>
        </w:rPr>
        <w:t xml:space="preserve">Unstructured Enterprise Knowledge</w:t>
      </w:r>
    </w:p>
    <w:p>
      <w:pPr>
        <w:pStyle w:val="BodyText"/>
      </w:pPr>
      <w:r>
        <w:t xml:space="preserve">These sources currently represent separate information domains from the perspective of an AI consumer.</w:t>
      </w:r>
    </w:p>
    <w:p>
      <w:pPr>
        <w:pStyle w:val="BodyText"/>
      </w:pPr>
      <w:r>
        <w:t xml:space="preserve">The existing fraud-processing environment is considered a production-critical asset and must not be disrupted or rewritten as part of the FDE engagement.</w:t>
      </w:r>
    </w:p>
    <w:p>
      <w:pPr>
        <w:pStyle w:val="BodyText"/>
      </w:pPr>
      <w:r>
        <w:t xml:space="preserve">The current-state architecture can therefore be characterized as:</w:t>
      </w:r>
    </w:p>
    <w:p>
      <w:pPr>
        <w:pStyle w:val="BodyText"/>
      </w:pPr>
      <w:r>
        <w:rPr>
          <w:b/>
          <w:bCs/>
        </w:rPr>
        <w:t xml:space="preserve">Enterprise Sources + Existing Fraud Data + Enterprise Documents + Existing Analytics</w:t>
      </w:r>
    </w:p>
    <w:p>
      <w:pPr>
        <w:pStyle w:val="BodyText"/>
      </w:pPr>
      <w:r>
        <w:t xml:space="preserve">with the requirement to introduce a governed AI layer around these existing assets.</w:t>
      </w:r>
    </w:p>
    <w:p>
      <w:r>
        <w:pict>
          <v:rect style="width:0;height:1.5pt" o:hralign="center" o:hrstd="t" o:hr="t"/>
        </w:pict>
      </w:r>
    </w:p>
    <w:bookmarkEnd w:id="11"/>
    <w:bookmarkStart w:id="12" w:name="current-state-business-environment"/>
    <w:p>
      <w:pPr>
        <w:pStyle w:val="Heading1"/>
      </w:pPr>
      <w:r>
        <w:t xml:space="preserve">2. Current-State Business Environment</w:t>
      </w:r>
    </w:p>
    <w:p>
      <w:pPr>
        <w:pStyle w:val="FirstParagraph"/>
      </w:pPr>
      <w:r>
        <w:t xml:space="preserve">The organization already possesses significant data and analytical capabilities.</w:t>
      </w:r>
    </w:p>
    <w:p>
      <w:pPr>
        <w:pStyle w:val="BodyText"/>
      </w:pPr>
      <w:r>
        <w:t xml:space="preserve">Existing capabilities include:</w:t>
      </w:r>
    </w:p>
    <w:p>
      <w:pPr>
        <w:pStyle w:val="Compact"/>
        <w:numPr>
          <w:ilvl w:val="0"/>
          <w:numId w:val="1001"/>
        </w:numPr>
      </w:pPr>
      <w:r>
        <w:t xml:space="preserve">Fraud-processing pipelines</w:t>
      </w:r>
    </w:p>
    <w:p>
      <w:pPr>
        <w:pStyle w:val="Compact"/>
        <w:numPr>
          <w:ilvl w:val="0"/>
          <w:numId w:val="1001"/>
        </w:numPr>
      </w:pPr>
      <w:r>
        <w:t xml:space="preserve">Databricks Bronze/Silver/Gold architecture</w:t>
      </w:r>
    </w:p>
    <w:p>
      <w:pPr>
        <w:pStyle w:val="Compact"/>
        <w:numPr>
          <w:ilvl w:val="0"/>
          <w:numId w:val="1001"/>
        </w:numPr>
      </w:pPr>
      <w:r>
        <w:t xml:space="preserve">Processed fraud datasets</w:t>
      </w:r>
    </w:p>
    <w:p>
      <w:pPr>
        <w:pStyle w:val="Compact"/>
        <w:numPr>
          <w:ilvl w:val="0"/>
          <w:numId w:val="1001"/>
        </w:numPr>
      </w:pPr>
      <w:r>
        <w:t xml:space="preserve">Gold fraud tables</w:t>
      </w:r>
    </w:p>
    <w:p>
      <w:pPr>
        <w:pStyle w:val="Compact"/>
        <w:numPr>
          <w:ilvl w:val="0"/>
          <w:numId w:val="1001"/>
        </w:numPr>
      </w:pPr>
      <w:r>
        <w:t xml:space="preserve">Existing dashboards</w:t>
      </w:r>
    </w:p>
    <w:p>
      <w:pPr>
        <w:pStyle w:val="Compact"/>
        <w:numPr>
          <w:ilvl w:val="0"/>
          <w:numId w:val="1001"/>
        </w:numPr>
      </w:pPr>
      <w:r>
        <w:t xml:space="preserve">Existing reports</w:t>
      </w:r>
    </w:p>
    <w:p>
      <w:pPr>
        <w:pStyle w:val="Compact"/>
        <w:numPr>
          <w:ilvl w:val="0"/>
          <w:numId w:val="1001"/>
        </w:numPr>
      </w:pPr>
      <w:r>
        <w:t xml:space="preserve">Existing business applications</w:t>
      </w:r>
    </w:p>
    <w:p>
      <w:pPr>
        <w:pStyle w:val="Compact"/>
        <w:numPr>
          <w:ilvl w:val="0"/>
          <w:numId w:val="1001"/>
        </w:numPr>
      </w:pPr>
      <w:r>
        <w:t xml:space="preserve">Existing fraud-processing logic</w:t>
      </w:r>
    </w:p>
    <w:p>
      <w:pPr>
        <w:pStyle w:val="Compact"/>
        <w:numPr>
          <w:ilvl w:val="0"/>
          <w:numId w:val="1001"/>
        </w:numPr>
      </w:pPr>
      <w:r>
        <w:t xml:space="preserve">Enterprise document repositories</w:t>
      </w:r>
    </w:p>
    <w:p>
      <w:pPr>
        <w:pStyle w:val="Compact"/>
        <w:numPr>
          <w:ilvl w:val="0"/>
          <w:numId w:val="1001"/>
        </w:numPr>
      </w:pPr>
      <w:r>
        <w:t xml:space="preserve">Fraud policies</w:t>
      </w:r>
    </w:p>
    <w:p>
      <w:pPr>
        <w:pStyle w:val="Compact"/>
        <w:numPr>
          <w:ilvl w:val="0"/>
          <w:numId w:val="1001"/>
        </w:numPr>
      </w:pPr>
      <w:r>
        <w:t xml:space="preserve">Compliance documentation</w:t>
      </w:r>
    </w:p>
    <w:p>
      <w:pPr>
        <w:pStyle w:val="Compact"/>
        <w:numPr>
          <w:ilvl w:val="0"/>
          <w:numId w:val="1001"/>
        </w:numPr>
      </w:pPr>
      <w:r>
        <w:t xml:space="preserve">Operational procedures</w:t>
      </w:r>
    </w:p>
    <w:p>
      <w:pPr>
        <w:pStyle w:val="Compact"/>
        <w:numPr>
          <w:ilvl w:val="0"/>
          <w:numId w:val="1001"/>
        </w:numPr>
      </w:pPr>
      <w:r>
        <w:t xml:space="preserve">Investigation guidelines</w:t>
      </w:r>
    </w:p>
    <w:p>
      <w:pPr>
        <w:pStyle w:val="FirstParagraph"/>
      </w:pPr>
      <w:r>
        <w:t xml:space="preserve">The primary limitation is not the absence of enterprise data.</w:t>
      </w:r>
    </w:p>
    <w:p>
      <w:pPr>
        <w:pStyle w:val="BodyText"/>
      </w:pPr>
      <w:r>
        <w:t xml:space="preserve">The limitation is the absence of a unified AI experience that can reason across:</w:t>
      </w:r>
    </w:p>
    <w:p>
      <w:pPr>
        <w:pStyle w:val="BodyText"/>
      </w:pPr>
      <w:r>
        <w:rPr>
          <w:b/>
          <w:bCs/>
        </w:rPr>
        <w:t xml:space="preserve">Fraud Data + Enterprise Documents + Fraud Policies</w:t>
      </w:r>
    </w:p>
    <w:p>
      <w:r>
        <w:pict>
          <v:rect style="width:0;height:1.5pt" o:hralign="center" o:hrstd="t" o:hr="t"/>
        </w:pict>
      </w:r>
    </w:p>
    <w:bookmarkEnd w:id="12"/>
    <w:bookmarkStart w:id="13" w:name="current-state-architecture"/>
    <w:p>
      <w:pPr>
        <w:pStyle w:val="Heading1"/>
      </w:pPr>
      <w:r>
        <w:t xml:space="preserve">3. Current-State Architecture</w:t>
      </w:r>
    </w:p>
    <w:p>
      <w:pPr>
        <w:pStyle w:val="FirstParagraph"/>
      </w:pPr>
      <w:r>
        <w:t xml:space="preserve">Conceptually, the current environment can be represented as:</w:t>
      </w:r>
    </w:p>
    <w:p>
      <w:pPr>
        <w:pStyle w:val="SourceCode"/>
      </w:pPr>
      <w:r>
        <w:rPr>
          <w:rStyle w:val="VerbatimChar"/>
        </w:rPr>
        <w:t xml:space="preserve">                  ENTERPRISE USERS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+----------+----------+</w:t>
      </w:r>
      <w:r>
        <w:br/>
      </w:r>
      <w:r>
        <w:rPr>
          <w:rStyle w:val="VerbatimChar"/>
        </w:rPr>
        <w:t xml:space="preserve">              |                     |</w:t>
      </w:r>
      <w:r>
        <w:br/>
      </w:r>
      <w:r>
        <w:rPr>
          <w:rStyle w:val="VerbatimChar"/>
        </w:rPr>
        <w:t xml:space="preserve">              v                     v</w:t>
      </w:r>
      <w:r>
        <w:br/>
      </w:r>
      <w:r>
        <w:rPr>
          <w:rStyle w:val="VerbatimChar"/>
        </w:rPr>
        <w:t xml:space="preserve">       Existing BI /          Existing Business</w:t>
      </w:r>
      <w:r>
        <w:br/>
      </w:r>
      <w:r>
        <w:rPr>
          <w:rStyle w:val="VerbatimChar"/>
        </w:rPr>
        <w:t xml:space="preserve">       Dashboards             Applications</w:t>
      </w:r>
      <w:r>
        <w:br/>
      </w:r>
      <w:r>
        <w:rPr>
          <w:rStyle w:val="VerbatimChar"/>
        </w:rPr>
        <w:t xml:space="preserve">              |                     |</w:t>
      </w:r>
      <w:r>
        <w:br/>
      </w:r>
      <w:r>
        <w:rPr>
          <w:rStyle w:val="VerbatimChar"/>
        </w:rPr>
        <w:t xml:space="preserve">              +----------+----------+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     v</w:t>
      </w:r>
      <w:r>
        <w:br/>
      </w:r>
      <w:r>
        <w:rPr>
          <w:rStyle w:val="VerbatimChar"/>
        </w:rPr>
        <w:t xml:space="preserve">                Existing Fraud</w:t>
      </w:r>
      <w:r>
        <w:br/>
      </w:r>
      <w:r>
        <w:rPr>
          <w:rStyle w:val="VerbatimChar"/>
        </w:rPr>
        <w:t xml:space="preserve">                Data Platform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     v</w:t>
      </w:r>
      <w:r>
        <w:br/>
      </w:r>
      <w:r>
        <w:rPr>
          <w:rStyle w:val="VerbatimChar"/>
        </w:rPr>
        <w:t xml:space="preserve">                Databricks Gold</w:t>
      </w:r>
      <w:r>
        <w:br/>
      </w:r>
      <w:r>
        <w:rPr>
          <w:rStyle w:val="VerbatimChar"/>
        </w:rPr>
        <w:t xml:space="preserve">                  Fraud Tables</w:t>
      </w:r>
    </w:p>
    <w:p>
      <w:pPr>
        <w:pStyle w:val="FirstParagraph"/>
      </w:pPr>
      <w:r>
        <w:t xml:space="preserve">In parallel:</w:t>
      </w:r>
    </w:p>
    <w:p>
      <w:pPr>
        <w:pStyle w:val="SourceCode"/>
      </w:pPr>
      <w:r>
        <w:rPr>
          <w:rStyle w:val="VerbatimChar"/>
        </w:rPr>
        <w:t xml:space="preserve">        ENTERPRISE DOCUMENT SOURCES</w:t>
      </w:r>
      <w:r>
        <w:br/>
      </w:r>
      <w:r>
        <w:rPr>
          <w:rStyle w:val="VerbatimChar"/>
        </w:rPr>
        <w:t xml:space="preserve">                    |</w:t>
      </w:r>
      <w:r>
        <w:br/>
      </w:r>
      <w:r>
        <w:rPr>
          <w:rStyle w:val="VerbatimChar"/>
        </w:rPr>
        <w:t xml:space="preserve">                    v</w:t>
      </w:r>
      <w:r>
        <w:br/>
      </w:r>
      <w:r>
        <w:rPr>
          <w:rStyle w:val="VerbatimChar"/>
        </w:rPr>
        <w:t xml:space="preserve">          Documents / Policies</w:t>
      </w:r>
      <w:r>
        <w:br/>
      </w:r>
      <w:r>
        <w:rPr>
          <w:rStyle w:val="VerbatimChar"/>
        </w:rPr>
        <w:t xml:space="preserve">                    |</w:t>
      </w:r>
      <w:r>
        <w:br/>
      </w:r>
      <w:r>
        <w:rPr>
          <w:rStyle w:val="VerbatimChar"/>
        </w:rPr>
        <w:t xml:space="preserve">                    v</w:t>
      </w:r>
      <w:r>
        <w:br/>
      </w:r>
      <w:r>
        <w:rPr>
          <w:rStyle w:val="VerbatimChar"/>
        </w:rPr>
        <w:t xml:space="preserve">       Multiple Enterprise Domains</w:t>
      </w:r>
      <w:r>
        <w:br/>
      </w:r>
      <w:r>
        <w:rPr>
          <w:rStyle w:val="VerbatimChar"/>
        </w:rPr>
        <w:t xml:space="preserve">                    |</w:t>
      </w:r>
      <w:r>
        <w:br/>
      </w:r>
      <w:r>
        <w:rPr>
          <w:rStyle w:val="VerbatimChar"/>
        </w:rPr>
        <w:t xml:space="preserve">                    v</w:t>
      </w:r>
      <w:r>
        <w:br/>
      </w:r>
      <w:r>
        <w:rPr>
          <w:rStyle w:val="VerbatimChar"/>
        </w:rPr>
        <w:t xml:space="preserve">        Traditional Document Access</w:t>
      </w:r>
    </w:p>
    <w:p>
      <w:pPr>
        <w:pStyle w:val="FirstParagraph"/>
      </w:pPr>
      <w:r>
        <w:t xml:space="preserve">The structured and unstructured environments exist as separate knowledge sources.</w:t>
      </w:r>
    </w:p>
    <w:p>
      <w:r>
        <w:pict>
          <v:rect style="width:0;height:1.5pt" o:hralign="center" o:hrstd="t" o:hr="t"/>
        </w:pict>
      </w:r>
    </w:p>
    <w:bookmarkEnd w:id="13"/>
    <w:bookmarkStart w:id="14" w:name="existing-fraud-data-architecture"/>
    <w:p>
      <w:pPr>
        <w:pStyle w:val="Heading1"/>
      </w:pPr>
      <w:r>
        <w:t xml:space="preserve">4. Existing Fraud Data Architecture</w:t>
      </w:r>
    </w:p>
    <w:p>
      <w:pPr>
        <w:pStyle w:val="FirstParagraph"/>
      </w:pPr>
      <w:r>
        <w:t xml:space="preserve">The fraud-processing environment follows a Medallion-style architecture.</w:t>
      </w:r>
    </w:p>
    <w:p>
      <w:pPr>
        <w:pStyle w:val="SourceCode"/>
      </w:pPr>
      <w:r>
        <w:rPr>
          <w:rStyle w:val="VerbatimChar"/>
        </w:rPr>
        <w:t xml:space="preserve">Fraud Sources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   Bronze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   Silver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    Gold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+----&gt; Existing Dashboards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+----&gt; Existing Reports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+----&gt; Existing Applications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+----&gt; Business Analytics</w:t>
      </w:r>
    </w:p>
    <w:p>
      <w:pPr>
        <w:pStyle w:val="FirstParagraph"/>
      </w:pPr>
      <w:r>
        <w:t xml:space="preserve">The Gold layer contains processed fraud datasets used by downstream analytical and business workloads.</w:t>
      </w:r>
    </w:p>
    <w:p>
      <w:pPr>
        <w:pStyle w:val="BodyText"/>
      </w:pPr>
      <w:r>
        <w:t xml:space="preserve">These existing workloads are considered production dependencies.</w:t>
      </w:r>
    </w:p>
    <w:p>
      <w:pPr>
        <w:pStyle w:val="BodyText"/>
      </w:pPr>
      <w:r>
        <w:t xml:space="preserve">The FDE architecture must therefore consume the existing Gold layer rather than unnecessarily modifying it.</w:t>
      </w:r>
    </w:p>
    <w:p>
      <w:r>
        <w:pict>
          <v:rect style="width:0;height:1.5pt" o:hralign="center" o:hrstd="t" o:hr="t"/>
        </w:pict>
      </w:r>
    </w:p>
    <w:bookmarkEnd w:id="14"/>
    <w:bookmarkStart w:id="15" w:name="existing-document-environment"/>
    <w:p>
      <w:pPr>
        <w:pStyle w:val="Heading1"/>
      </w:pPr>
      <w:r>
        <w:t xml:space="preserve">5. Existing Document Environment</w:t>
      </w:r>
    </w:p>
    <w:p>
      <w:pPr>
        <w:pStyle w:val="FirstParagraph"/>
      </w:pPr>
      <w:r>
        <w:t xml:space="preserve">The organization maintains thousands of documents.</w:t>
      </w:r>
    </w:p>
    <w:p>
      <w:pPr>
        <w:pStyle w:val="BodyText"/>
      </w:pPr>
      <w:r>
        <w:t xml:space="preserve">Potential document categories include:</w:t>
      </w:r>
    </w:p>
    <w:p>
      <w:pPr>
        <w:pStyle w:val="Compact"/>
        <w:numPr>
          <w:ilvl w:val="0"/>
          <w:numId w:val="1002"/>
        </w:numPr>
      </w:pPr>
      <w:r>
        <w:t xml:space="preserve">Fraud policies</w:t>
      </w:r>
    </w:p>
    <w:p>
      <w:pPr>
        <w:pStyle w:val="Compact"/>
        <w:numPr>
          <w:ilvl w:val="0"/>
          <w:numId w:val="1002"/>
        </w:numPr>
      </w:pPr>
      <w:r>
        <w:t xml:space="preserve">Fraud investigation procedures</w:t>
      </w:r>
    </w:p>
    <w:p>
      <w:pPr>
        <w:pStyle w:val="Compact"/>
        <w:numPr>
          <w:ilvl w:val="0"/>
          <w:numId w:val="1002"/>
        </w:numPr>
      </w:pPr>
      <w:r>
        <w:t xml:space="preserve">Standard operating procedures</w:t>
      </w:r>
    </w:p>
    <w:p>
      <w:pPr>
        <w:pStyle w:val="Compact"/>
        <w:numPr>
          <w:ilvl w:val="0"/>
          <w:numId w:val="1002"/>
        </w:numPr>
      </w:pPr>
      <w:r>
        <w:t xml:space="preserve">Compliance documents</w:t>
      </w:r>
    </w:p>
    <w:p>
      <w:pPr>
        <w:pStyle w:val="Compact"/>
        <w:numPr>
          <w:ilvl w:val="0"/>
          <w:numId w:val="1002"/>
        </w:numPr>
      </w:pPr>
      <w:r>
        <w:t xml:space="preserve">Regulatory documentation</w:t>
      </w:r>
    </w:p>
    <w:p>
      <w:pPr>
        <w:pStyle w:val="Compact"/>
        <w:numPr>
          <w:ilvl w:val="0"/>
          <w:numId w:val="1002"/>
        </w:numPr>
      </w:pPr>
      <w:r>
        <w:t xml:space="preserve">Product documentation</w:t>
      </w:r>
    </w:p>
    <w:p>
      <w:pPr>
        <w:pStyle w:val="Compact"/>
        <w:numPr>
          <w:ilvl w:val="0"/>
          <w:numId w:val="1002"/>
        </w:numPr>
      </w:pPr>
      <w:r>
        <w:t xml:space="preserve">Customer-service procedures</w:t>
      </w:r>
    </w:p>
    <w:p>
      <w:pPr>
        <w:pStyle w:val="Compact"/>
        <w:numPr>
          <w:ilvl w:val="0"/>
          <w:numId w:val="1002"/>
        </w:numPr>
      </w:pPr>
      <w:r>
        <w:t xml:space="preserve">Internal knowledge articles</w:t>
      </w:r>
    </w:p>
    <w:p>
      <w:pPr>
        <w:pStyle w:val="Compact"/>
        <w:numPr>
          <w:ilvl w:val="0"/>
          <w:numId w:val="1002"/>
        </w:numPr>
      </w:pPr>
      <w:r>
        <w:t xml:space="preserve">Risk documentation</w:t>
      </w:r>
    </w:p>
    <w:p>
      <w:pPr>
        <w:pStyle w:val="Compact"/>
        <w:numPr>
          <w:ilvl w:val="0"/>
          <w:numId w:val="1002"/>
        </w:numPr>
      </w:pPr>
      <w:r>
        <w:t xml:space="preserve">Historical operational documentation</w:t>
      </w:r>
    </w:p>
    <w:p>
      <w:pPr>
        <w:pStyle w:val="FirstParagraph"/>
      </w:pPr>
      <w:r>
        <w:t xml:space="preserve">Documents may exist in formats such as:</w:t>
      </w:r>
    </w:p>
    <w:p>
      <w:pPr>
        <w:pStyle w:val="Compact"/>
        <w:numPr>
          <w:ilvl w:val="0"/>
          <w:numId w:val="1003"/>
        </w:numPr>
      </w:pPr>
      <w:r>
        <w:t xml:space="preserve">PDF</w:t>
      </w:r>
    </w:p>
    <w:p>
      <w:pPr>
        <w:pStyle w:val="Compact"/>
        <w:numPr>
          <w:ilvl w:val="0"/>
          <w:numId w:val="1003"/>
        </w:numPr>
      </w:pPr>
      <w:r>
        <w:t xml:space="preserve">DOCX</w:t>
      </w:r>
    </w:p>
    <w:p>
      <w:pPr>
        <w:pStyle w:val="Compact"/>
        <w:numPr>
          <w:ilvl w:val="0"/>
          <w:numId w:val="1003"/>
        </w:numPr>
      </w:pPr>
      <w:r>
        <w:t xml:space="preserve">TXT</w:t>
      </w:r>
    </w:p>
    <w:p>
      <w:pPr>
        <w:pStyle w:val="Compact"/>
        <w:numPr>
          <w:ilvl w:val="0"/>
          <w:numId w:val="1003"/>
        </w:numPr>
      </w:pPr>
      <w:r>
        <w:t xml:space="preserve">HTML</w:t>
      </w:r>
    </w:p>
    <w:p>
      <w:pPr>
        <w:pStyle w:val="Compact"/>
        <w:numPr>
          <w:ilvl w:val="0"/>
          <w:numId w:val="1003"/>
        </w:numPr>
      </w:pPr>
      <w:r>
        <w:t xml:space="preserve">CSV</w:t>
      </w:r>
    </w:p>
    <w:p>
      <w:pPr>
        <w:pStyle w:val="Compact"/>
        <w:numPr>
          <w:ilvl w:val="0"/>
          <w:numId w:val="1003"/>
        </w:numPr>
      </w:pPr>
      <w:r>
        <w:t xml:space="preserve">JSON</w:t>
      </w:r>
    </w:p>
    <w:p>
      <w:pPr>
        <w:pStyle w:val="Compact"/>
        <w:numPr>
          <w:ilvl w:val="0"/>
          <w:numId w:val="1003"/>
        </w:numPr>
      </w:pPr>
      <w:r>
        <w:t xml:space="preserve">Markdown</w:t>
      </w:r>
    </w:p>
    <w:p>
      <w:pPr>
        <w:pStyle w:val="Compact"/>
        <w:numPr>
          <w:ilvl w:val="0"/>
          <w:numId w:val="1003"/>
        </w:numPr>
      </w:pPr>
      <w:r>
        <w:t xml:space="preserve">Other enterprise-approved formats</w:t>
      </w:r>
    </w:p>
    <w:p>
      <w:pPr>
        <w:pStyle w:val="FirstParagraph"/>
      </w:pPr>
      <w:r>
        <w:t xml:space="preserve">The documents also contain important business metadata such as:</w:t>
      </w:r>
    </w:p>
    <w:p>
      <w:pPr>
        <w:pStyle w:val="SourceCode"/>
      </w:pPr>
      <w:r>
        <w:rPr>
          <w:rStyle w:val="VerbatimChar"/>
        </w:rPr>
        <w:t xml:space="preserve">document_id</w:t>
      </w:r>
      <w:r>
        <w:br/>
      </w: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document_type</w:t>
      </w:r>
      <w:r>
        <w:br/>
      </w:r>
      <w:r>
        <w:rPr>
          <w:rStyle w:val="VerbatimChar"/>
        </w:rPr>
        <w:t xml:space="preserve">source_system</w:t>
      </w:r>
      <w:r>
        <w:br/>
      </w:r>
      <w:r>
        <w:rPr>
          <w:rStyle w:val="VerbatimChar"/>
        </w:rPr>
        <w:t xml:space="preserve">owner</w:t>
      </w:r>
      <w:r>
        <w:br/>
      </w:r>
      <w:r>
        <w:rPr>
          <w:rStyle w:val="VerbatimChar"/>
        </w:rPr>
        <w:t xml:space="preserve">classification</w:t>
      </w:r>
      <w:r>
        <w:br/>
      </w:r>
      <w:r>
        <w:rPr>
          <w:rStyle w:val="VerbatimChar"/>
        </w:rPr>
        <w:t xml:space="preserve">effective_date</w:t>
      </w:r>
      <w:r>
        <w:br/>
      </w:r>
      <w:r>
        <w:rPr>
          <w:rStyle w:val="VerbatimChar"/>
        </w:rPr>
        <w:t xml:space="preserve">expiration_date</w:t>
      </w:r>
      <w:r>
        <w:br/>
      </w:r>
      <w:r>
        <w:rPr>
          <w:rStyle w:val="VerbatimChar"/>
        </w:rPr>
        <w:t xml:space="preserve">version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15"/>
    <w:bookmarkStart w:id="16" w:name="current-state-knowledge-separation"/>
    <w:p>
      <w:pPr>
        <w:pStyle w:val="Heading1"/>
      </w:pPr>
      <w:r>
        <w:t xml:space="preserve">6. Current-State Knowledge Separation</w:t>
      </w:r>
    </w:p>
    <w:p>
      <w:pPr>
        <w:pStyle w:val="FirstParagraph"/>
      </w:pPr>
      <w:r>
        <w:t xml:space="preserve">The current environment effectively contains:</w:t>
      </w:r>
    </w:p>
    <w:p>
      <w:pPr>
        <w:pStyle w:val="SourceCode"/>
      </w:pPr>
      <w:r>
        <w:rPr>
          <w:rStyle w:val="VerbatimChar"/>
        </w:rPr>
        <w:t xml:space="preserve">              ENTERPRISE KNOWLEDGE</w:t>
      </w:r>
      <w:r>
        <w:br/>
      </w:r>
      <w:r>
        <w:rPr>
          <w:rStyle w:val="VerbatimChar"/>
        </w:rPr>
        <w:t xml:space="preserve">                     |</w:t>
      </w:r>
      <w:r>
        <w:br/>
      </w:r>
      <w:r>
        <w:rPr>
          <w:rStyle w:val="VerbatimChar"/>
        </w:rPr>
        <w:t xml:space="preserve">          +----------+----------+</w:t>
      </w:r>
      <w:r>
        <w:br/>
      </w:r>
      <w:r>
        <w:rPr>
          <w:rStyle w:val="VerbatimChar"/>
        </w:rPr>
        <w:t xml:space="preserve">          |                     |</w:t>
      </w:r>
      <w:r>
        <w:br/>
      </w:r>
      <w:r>
        <w:rPr>
          <w:rStyle w:val="VerbatimChar"/>
        </w:rPr>
        <w:t xml:space="preserve">          v                     v</w:t>
      </w:r>
      <w:r>
        <w:br/>
      </w:r>
      <w:r>
        <w:rPr>
          <w:rStyle w:val="VerbatimChar"/>
        </w:rPr>
        <w:t xml:space="preserve">    Structured Data       Unstructured Data</w:t>
      </w:r>
      <w:r>
        <w:br/>
      </w:r>
      <w:r>
        <w:rPr>
          <w:rStyle w:val="VerbatimChar"/>
        </w:rPr>
        <w:t xml:space="preserve">          |                     |</w:t>
      </w:r>
      <w:r>
        <w:br/>
      </w:r>
      <w:r>
        <w:rPr>
          <w:rStyle w:val="VerbatimChar"/>
        </w:rPr>
        <w:t xml:space="preserve">          v                     v</w:t>
      </w:r>
      <w:r>
        <w:br/>
      </w:r>
      <w:r>
        <w:rPr>
          <w:rStyle w:val="VerbatimChar"/>
        </w:rPr>
        <w:t xml:space="preserve">     Fraud Gold          Enterprise Docs</w:t>
      </w:r>
      <w:r>
        <w:br/>
      </w:r>
      <w:r>
        <w:rPr>
          <w:rStyle w:val="VerbatimChar"/>
        </w:rPr>
        <w:t xml:space="preserve">          |                     |</w:t>
      </w:r>
      <w:r>
        <w:br/>
      </w:r>
      <w:r>
        <w:rPr>
          <w:rStyle w:val="VerbatimChar"/>
        </w:rPr>
        <w:t xml:space="preserve">          v                     v</w:t>
      </w:r>
      <w:r>
        <w:br/>
      </w:r>
      <w:r>
        <w:rPr>
          <w:rStyle w:val="VerbatimChar"/>
        </w:rPr>
        <w:t xml:space="preserve">    SQL / BI Access       Document Access</w:t>
      </w:r>
    </w:p>
    <w:p>
      <w:pPr>
        <w:pStyle w:val="FirstParagraph"/>
      </w:pPr>
      <w:r>
        <w:t xml:space="preserve">There is no unified reasoning layer connecting the two sources.</w:t>
      </w:r>
    </w:p>
    <w:p>
      <w:pPr>
        <w:pStyle w:val="BodyText"/>
      </w:pPr>
      <w:r>
        <w:t xml:space="preserve">For example, a business user may know:</w:t>
      </w:r>
    </w:p>
    <w:p>
      <w:pPr>
        <w:pStyle w:val="BlockText"/>
      </w:pPr>
      <w:r>
        <w:t xml:space="preserve">Fraud increased in California.</w:t>
      </w:r>
    </w:p>
    <w:p>
      <w:pPr>
        <w:pStyle w:val="FirstParagraph"/>
      </w:pPr>
      <w:r>
        <w:t xml:space="preserve">But answering:</w:t>
      </w:r>
    </w:p>
    <w:p>
      <w:pPr>
        <w:pStyle w:val="BlockText"/>
      </w:pPr>
      <w:r>
        <w:t xml:space="preserve">Which current policy applies to the dominant fraud pattern?</w:t>
      </w:r>
    </w:p>
    <w:p>
      <w:pPr>
        <w:pStyle w:val="FirstParagraph"/>
      </w:pPr>
      <w:r>
        <w:t xml:space="preserve">requires information from both the fraud Gold tables and enterprise policy documents.</w:t>
      </w:r>
    </w:p>
    <w:p>
      <w:pPr>
        <w:pStyle w:val="BodyText"/>
      </w:pPr>
      <w:r>
        <w:t xml:space="preserve">This combined reasoning capability is one of the primary gaps addressed by the FDE initiative.</w:t>
      </w:r>
    </w:p>
    <w:p>
      <w:r>
        <w:pict>
          <v:rect style="width:0;height:1.5pt" o:hralign="center" o:hrstd="t" o:hr="t"/>
        </w:pict>
      </w:r>
    </w:p>
    <w:bookmarkEnd w:id="16"/>
    <w:bookmarkStart w:id="17" w:name="current-state-document-processing-gap"/>
    <w:p>
      <w:pPr>
        <w:pStyle w:val="Heading1"/>
      </w:pPr>
      <w:r>
        <w:t xml:space="preserve">7. Current-State Document Processing Gap</w:t>
      </w:r>
    </w:p>
    <w:p>
      <w:pPr>
        <w:pStyle w:val="FirstParagraph"/>
      </w:pPr>
      <w:r>
        <w:t xml:space="preserve">The current environment does not yet provide the complete governed AI knowledge lifecycle:</w:t>
      </w:r>
    </w:p>
    <w:p>
      <w:pPr>
        <w:pStyle w:val="SourceCode"/>
      </w:pPr>
      <w:r>
        <w:rPr>
          <w:rStyle w:val="VerbatimChar"/>
        </w:rPr>
        <w:t xml:space="preserve">Document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Parsing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Chunking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Embedding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Retrieval Index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RAG</w:t>
      </w:r>
    </w:p>
    <w:p>
      <w:pPr>
        <w:pStyle w:val="FirstParagraph"/>
      </w:pPr>
      <w:r>
        <w:t xml:space="preserve">A production-grade incremental pipeline is required to establish this lifecycle.</w:t>
      </w:r>
    </w:p>
    <w:p>
      <w:r>
        <w:pict>
          <v:rect style="width:0;height:1.5pt" o:hralign="center" o:hrstd="t" o:hr="t"/>
        </w:pict>
      </w:r>
    </w:p>
    <w:bookmarkEnd w:id="17"/>
    <w:bookmarkStart w:id="18" w:name="current-state-incremental-processing-gap"/>
    <w:p>
      <w:pPr>
        <w:pStyle w:val="Heading1"/>
      </w:pPr>
      <w:r>
        <w:t xml:space="preserve">8. Current-State Incremental Processing Gap</w:t>
      </w:r>
    </w:p>
    <w:p>
      <w:pPr>
        <w:pStyle w:val="FirstParagraph"/>
      </w:pPr>
      <w:r>
        <w:t xml:space="preserve">The client has an explicit requirement that uploading one document must not cause thousands of existing documents to be reprocessed.</w:t>
      </w:r>
    </w:p>
    <w:p>
      <w:pPr>
        <w:pStyle w:val="BodyText"/>
      </w:pPr>
      <w:r>
        <w:t xml:space="preserve">The current-state architecture therefore requires an incremental processing capability capable of identifying:</w:t>
      </w:r>
    </w:p>
    <w:p>
      <w:pPr>
        <w:pStyle w:val="SourceCode"/>
      </w:pPr>
      <w:r>
        <w:rPr>
          <w:rStyle w:val="VerbatimChar"/>
        </w:rPr>
        <w:t xml:space="preserve">NEW</w:t>
      </w:r>
      <w:r>
        <w:br/>
      </w:r>
      <w:r>
        <w:rPr>
          <w:rStyle w:val="VerbatimChar"/>
        </w:rPr>
        <w:t xml:space="preserve">UPDATED</w:t>
      </w:r>
      <w:r>
        <w:br/>
      </w:r>
      <w:r>
        <w:rPr>
          <w:rStyle w:val="VerbatimChar"/>
        </w:rPr>
        <w:t xml:space="preserve">DELETED</w:t>
      </w:r>
      <w:r>
        <w:br/>
      </w:r>
      <w:r>
        <w:rPr>
          <w:rStyle w:val="VerbatimChar"/>
        </w:rPr>
        <w:t xml:space="preserve">UNCHANGED</w:t>
      </w:r>
    </w:p>
    <w:p>
      <w:pPr>
        <w:pStyle w:val="FirstParagraph"/>
      </w:pPr>
      <w:r>
        <w:t xml:space="preserve">The future architecture must introduce mechanisms such as:</w:t>
      </w:r>
    </w:p>
    <w:p>
      <w:pPr>
        <w:pStyle w:val="Compact"/>
        <w:numPr>
          <w:ilvl w:val="0"/>
          <w:numId w:val="1004"/>
        </w:numPr>
      </w:pPr>
      <w:r>
        <w:t xml:space="preserve">Stable document identity</w:t>
      </w:r>
    </w:p>
    <w:p>
      <w:pPr>
        <w:pStyle w:val="Compact"/>
        <w:numPr>
          <w:ilvl w:val="0"/>
          <w:numId w:val="1004"/>
        </w:numPr>
      </w:pPr>
      <w:r>
        <w:t xml:space="preserve">Document versioning</w:t>
      </w:r>
    </w:p>
    <w:p>
      <w:pPr>
        <w:pStyle w:val="Compact"/>
        <w:numPr>
          <w:ilvl w:val="0"/>
          <w:numId w:val="1004"/>
        </w:numPr>
      </w:pPr>
      <w:r>
        <w:t xml:space="preserve">Content hashing</w:t>
      </w:r>
    </w:p>
    <w:p>
      <w:pPr>
        <w:pStyle w:val="Compact"/>
        <w:numPr>
          <w:ilvl w:val="0"/>
          <w:numId w:val="1004"/>
        </w:numPr>
      </w:pPr>
      <w:r>
        <w:t xml:space="preserve">Incremental ingestion</w:t>
      </w:r>
    </w:p>
    <w:p>
      <w:pPr>
        <w:pStyle w:val="Compact"/>
        <w:numPr>
          <w:ilvl w:val="0"/>
          <w:numId w:val="1004"/>
        </w:numPr>
      </w:pPr>
      <w:r>
        <w:t xml:space="preserve">Incremental chunking</w:t>
      </w:r>
    </w:p>
    <w:p>
      <w:pPr>
        <w:pStyle w:val="Compact"/>
        <w:numPr>
          <w:ilvl w:val="0"/>
          <w:numId w:val="1004"/>
        </w:numPr>
      </w:pPr>
      <w:r>
        <w:t xml:space="preserve">Incremental embedding</w:t>
      </w:r>
    </w:p>
    <w:p>
      <w:pPr>
        <w:pStyle w:val="Compact"/>
        <w:numPr>
          <w:ilvl w:val="0"/>
          <w:numId w:val="1004"/>
        </w:numPr>
      </w:pPr>
      <w:r>
        <w:t xml:space="preserve">Incremental search synchronization</w:t>
      </w:r>
    </w:p>
    <w:p>
      <w:r>
        <w:pict>
          <v:rect style="width:0;height:1.5pt" o:hralign="center" o:hrstd="t" o:hr="t"/>
        </w:pict>
      </w:r>
    </w:p>
    <w:bookmarkEnd w:id="18"/>
    <w:bookmarkStart w:id="19" w:name="current-state-security-model"/>
    <w:p>
      <w:pPr>
        <w:pStyle w:val="Heading1"/>
      </w:pPr>
      <w:r>
        <w:t xml:space="preserve">9. Current-State Security Model</w:t>
      </w:r>
    </w:p>
    <w:p>
      <w:pPr>
        <w:pStyle w:val="FirstParagraph"/>
      </w:pPr>
      <w:r>
        <w:t xml:space="preserve">The enterprise environment already requires strong data privacy and access control.</w:t>
      </w:r>
    </w:p>
    <w:p>
      <w:pPr>
        <w:pStyle w:val="BodyText"/>
      </w:pPr>
      <w:r>
        <w:t xml:space="preserve">However, an AI-specific authorization path must be established.</w:t>
      </w:r>
    </w:p>
    <w:p>
      <w:pPr>
        <w:pStyle w:val="BodyText"/>
      </w:pPr>
      <w:r>
        <w:t xml:space="preserve">The current architecture cannot rely on an LLM to determine whether a user should have access to a document or dataset.</w:t>
      </w:r>
    </w:p>
    <w:p>
      <w:pPr>
        <w:pStyle w:val="BodyText"/>
      </w:pPr>
      <w:r>
        <w:t xml:space="preserve">The required future security model is: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Identity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Approved Data Scope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Retrieval / Tool Execution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LLM</w:t>
      </w:r>
    </w:p>
    <w:p>
      <w:pPr>
        <w:pStyle w:val="FirstParagraph"/>
      </w:pPr>
      <w:r>
        <w:t xml:space="preserve">Rather than: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LLM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LLM decides what user can access</w:t>
      </w:r>
    </w:p>
    <w:p>
      <w:r>
        <w:pict>
          <v:rect style="width:0;height:1.5pt" o:hralign="center" o:hrstd="t" o:hr="t"/>
        </w:pict>
      </w:r>
    </w:p>
    <w:bookmarkEnd w:id="19"/>
    <w:bookmarkStart w:id="20" w:name="current-state-analytics"/>
    <w:p>
      <w:pPr>
        <w:pStyle w:val="Heading1"/>
      </w:pPr>
      <w:r>
        <w:t xml:space="preserve">10. Current-State Analytics</w:t>
      </w:r>
    </w:p>
    <w:p>
      <w:pPr>
        <w:pStyle w:val="FirstParagraph"/>
      </w:pPr>
      <w:r>
        <w:t xml:space="preserve">Fraud analytics are already supported through existing processed data and business functionality.</w:t>
      </w:r>
    </w:p>
    <w:p>
      <w:pPr>
        <w:pStyle w:val="BodyText"/>
      </w:pPr>
      <w:r>
        <w:t xml:space="preserve">Typical questions include:</w:t>
      </w:r>
    </w:p>
    <w:p>
      <w:pPr>
        <w:pStyle w:val="Compact"/>
        <w:numPr>
          <w:ilvl w:val="0"/>
          <w:numId w:val="1005"/>
        </w:numPr>
      </w:pPr>
      <w:r>
        <w:t xml:space="preserve">What fraud patterns increased this month?</w:t>
      </w:r>
    </w:p>
    <w:p>
      <w:pPr>
        <w:pStyle w:val="Compact"/>
        <w:numPr>
          <w:ilvl w:val="0"/>
          <w:numId w:val="1005"/>
        </w:numPr>
      </w:pPr>
      <w:r>
        <w:t xml:space="preserve">Which fraud types are increasing?</w:t>
      </w:r>
    </w:p>
    <w:p>
      <w:pPr>
        <w:pStyle w:val="Compact"/>
        <w:numPr>
          <w:ilvl w:val="0"/>
          <w:numId w:val="1005"/>
        </w:numPr>
      </w:pPr>
      <w:r>
        <w:t xml:space="preserve">Which regions have the highest fraud rates?</w:t>
      </w:r>
    </w:p>
    <w:p>
      <w:pPr>
        <w:pStyle w:val="Compact"/>
        <w:numPr>
          <w:ilvl w:val="0"/>
          <w:numId w:val="1005"/>
        </w:numPr>
      </w:pPr>
      <w:r>
        <w:t xml:space="preserve">What are the most common fraud indicators?</w:t>
      </w:r>
    </w:p>
    <w:p>
      <w:pPr>
        <w:pStyle w:val="Compact"/>
        <w:numPr>
          <w:ilvl w:val="0"/>
          <w:numId w:val="1005"/>
        </w:numPr>
      </w:pPr>
      <w:r>
        <w:t xml:space="preserve">How has a fraud metric changed?</w:t>
      </w:r>
    </w:p>
    <w:p>
      <w:pPr>
        <w:pStyle w:val="Compact"/>
        <w:numPr>
          <w:ilvl w:val="0"/>
          <w:numId w:val="1005"/>
        </w:numPr>
      </w:pPr>
      <w:r>
        <w:t xml:space="preserve">What fraud trends occurred during a particular period?</w:t>
      </w:r>
    </w:p>
    <w:p>
      <w:pPr>
        <w:pStyle w:val="FirstParagraph"/>
      </w:pPr>
      <w:r>
        <w:t xml:space="preserve">The gap is that natural-language access to these analytical capabilities has not yet been unified with enterprise document intelligence.</w:t>
      </w:r>
    </w:p>
    <w:p>
      <w:r>
        <w:pict>
          <v:rect style="width:0;height:1.5pt" o:hralign="center" o:hrstd="t" o:hr="t"/>
        </w:pict>
      </w:r>
    </w:p>
    <w:bookmarkEnd w:id="20"/>
    <w:bookmarkStart w:id="21" w:name="current-state-ai-capability"/>
    <w:p>
      <w:pPr>
        <w:pStyle w:val="Heading1"/>
      </w:pPr>
      <w:r>
        <w:t xml:space="preserve">11. Current-State AI Capability</w:t>
      </w:r>
    </w:p>
    <w:p>
      <w:pPr>
        <w:pStyle w:val="FirstParagraph"/>
      </w:pPr>
      <w:r>
        <w:t xml:space="preserve">The desired AI capabilities include:</w:t>
      </w:r>
    </w:p>
    <w:p>
      <w:pPr>
        <w:pStyle w:val="Compact"/>
        <w:numPr>
          <w:ilvl w:val="0"/>
          <w:numId w:val="1006"/>
        </w:numPr>
      </w:pPr>
      <w:r>
        <w:t xml:space="preserve">RAG</w:t>
      </w:r>
    </w:p>
    <w:p>
      <w:pPr>
        <w:pStyle w:val="Compact"/>
        <w:numPr>
          <w:ilvl w:val="0"/>
          <w:numId w:val="1006"/>
        </w:numPr>
      </w:pPr>
      <w:r>
        <w:t xml:space="preserve">Natural-language fraud analytics</w:t>
      </w:r>
    </w:p>
    <w:p>
      <w:pPr>
        <w:pStyle w:val="Compact"/>
        <w:numPr>
          <w:ilvl w:val="0"/>
          <w:numId w:val="1006"/>
        </w:numPr>
      </w:pPr>
      <w:r>
        <w:t xml:space="preserve">Agentic workflows</w:t>
      </w:r>
    </w:p>
    <w:p>
      <w:pPr>
        <w:pStyle w:val="Compact"/>
        <w:numPr>
          <w:ilvl w:val="0"/>
          <w:numId w:val="1006"/>
        </w:numPr>
      </w:pPr>
      <w:r>
        <w:t xml:space="preserve">Document search</w:t>
      </w:r>
    </w:p>
    <w:p>
      <w:pPr>
        <w:pStyle w:val="Compact"/>
        <w:numPr>
          <w:ilvl w:val="0"/>
          <w:numId w:val="1006"/>
        </w:numPr>
      </w:pPr>
      <w:r>
        <w:t xml:space="preserve">Policy search</w:t>
      </w:r>
    </w:p>
    <w:p>
      <w:pPr>
        <w:pStyle w:val="Compact"/>
        <w:numPr>
          <w:ilvl w:val="0"/>
          <w:numId w:val="1006"/>
        </w:numPr>
      </w:pPr>
      <w:r>
        <w:t xml:space="preserve">Fraud analytics</w:t>
      </w:r>
    </w:p>
    <w:p>
      <w:pPr>
        <w:pStyle w:val="Compact"/>
        <w:numPr>
          <w:ilvl w:val="0"/>
          <w:numId w:val="1006"/>
        </w:numPr>
      </w:pPr>
      <w:r>
        <w:t xml:space="preserve">Visualization</w:t>
      </w:r>
    </w:p>
    <w:p>
      <w:pPr>
        <w:pStyle w:val="Compact"/>
        <w:numPr>
          <w:ilvl w:val="0"/>
          <w:numId w:val="1006"/>
        </w:numPr>
      </w:pPr>
      <w:r>
        <w:t xml:space="preserve">Structured + unstructured reasoning</w:t>
      </w:r>
    </w:p>
    <w:p>
      <w:pPr>
        <w:pStyle w:val="FirstParagraph"/>
      </w:pPr>
      <w:r>
        <w:t xml:space="preserve">However, these capabilities must be introduced as an enterprise platform rather than as an isolated chatbot.</w:t>
      </w:r>
    </w:p>
    <w:p>
      <w:r>
        <w:pict>
          <v:rect style="width:0;height:1.5pt" o:hralign="center" o:hrstd="t" o:hr="t"/>
        </w:pict>
      </w:r>
    </w:p>
    <w:bookmarkEnd w:id="21"/>
    <w:bookmarkStart w:id="22" w:name="current-state-governance"/>
    <w:p>
      <w:pPr>
        <w:pStyle w:val="Heading1"/>
      </w:pPr>
      <w:r>
        <w:t xml:space="preserve">12. Current-State Governance</w:t>
      </w:r>
    </w:p>
    <w:p>
      <w:pPr>
        <w:pStyle w:val="FirstParagraph"/>
      </w:pPr>
      <w:r>
        <w:t xml:space="preserve">Unity Catalog is identified as the strategic governance foundation.</w:t>
      </w:r>
    </w:p>
    <w:p>
      <w:pPr>
        <w:pStyle w:val="BodyText"/>
      </w:pPr>
      <w:r>
        <w:t xml:space="preserve">The future architecture should extend governance across:</w:t>
      </w:r>
    </w:p>
    <w:p>
      <w:pPr>
        <w:pStyle w:val="Compact"/>
        <w:numPr>
          <w:ilvl w:val="0"/>
          <w:numId w:val="1007"/>
        </w:numPr>
      </w:pPr>
      <w:r>
        <w:t xml:space="preserve">Data</w:t>
      </w:r>
    </w:p>
    <w:p>
      <w:pPr>
        <w:pStyle w:val="Compact"/>
        <w:numPr>
          <w:ilvl w:val="0"/>
          <w:numId w:val="1007"/>
        </w:numPr>
      </w:pPr>
      <w:r>
        <w:t xml:space="preserve">Documents</w:t>
      </w:r>
    </w:p>
    <w:p>
      <w:pPr>
        <w:pStyle w:val="Compact"/>
        <w:numPr>
          <w:ilvl w:val="0"/>
          <w:numId w:val="1007"/>
        </w:numPr>
      </w:pPr>
      <w:r>
        <w:t xml:space="preserve">Embeddings</w:t>
      </w:r>
    </w:p>
    <w:p>
      <w:pPr>
        <w:pStyle w:val="Compact"/>
        <w:numPr>
          <w:ilvl w:val="0"/>
          <w:numId w:val="1007"/>
        </w:numPr>
      </w:pPr>
      <w:r>
        <w:t xml:space="preserve">Models</w:t>
      </w:r>
    </w:p>
    <w:p>
      <w:pPr>
        <w:pStyle w:val="Compact"/>
        <w:numPr>
          <w:ilvl w:val="0"/>
          <w:numId w:val="1007"/>
        </w:numPr>
      </w:pPr>
      <w:r>
        <w:t xml:space="preserve">AI assets</w:t>
      </w:r>
    </w:p>
    <w:p>
      <w:pPr>
        <w:pStyle w:val="Compact"/>
        <w:numPr>
          <w:ilvl w:val="0"/>
          <w:numId w:val="1007"/>
        </w:numPr>
      </w:pPr>
      <w:r>
        <w:t xml:space="preserve">Access controls</w:t>
      </w:r>
    </w:p>
    <w:p>
      <w:pPr>
        <w:pStyle w:val="Compact"/>
        <w:numPr>
          <w:ilvl w:val="0"/>
          <w:numId w:val="1007"/>
        </w:numPr>
      </w:pPr>
      <w:r>
        <w:t xml:space="preserve">Lineage</w:t>
      </w:r>
    </w:p>
    <w:p>
      <w:pPr>
        <w:pStyle w:val="Compact"/>
        <w:numPr>
          <w:ilvl w:val="0"/>
          <w:numId w:val="1007"/>
        </w:numPr>
      </w:pPr>
      <w:r>
        <w:t xml:space="preserve">Auditability</w:t>
      </w:r>
    </w:p>
    <w:p>
      <w:pPr>
        <w:pStyle w:val="FirstParagraph"/>
      </w:pPr>
      <w:r>
        <w:t xml:space="preserve">The current state therefore provides the foundation for governed AI but requires an AI-specific implementation layer.</w:t>
      </w:r>
    </w:p>
    <w:p>
      <w:r>
        <w:pict>
          <v:rect style="width:0;height:1.5pt" o:hralign="center" o:hrstd="t" o:hr="t"/>
        </w:pict>
      </w:r>
    </w:p>
    <w:bookmarkEnd w:id="22"/>
    <w:bookmarkStart w:id="28" w:name="current-state-operational-gaps"/>
    <w:p>
      <w:pPr>
        <w:pStyle w:val="Heading1"/>
      </w:pPr>
      <w:r>
        <w:t xml:space="preserve">13. Current-State Operational Gaps</w:t>
      </w:r>
    </w:p>
    <w:p>
      <w:pPr>
        <w:pStyle w:val="FirstParagraph"/>
      </w:pPr>
      <w:r>
        <w:t xml:space="preserve">The target platform requires observability across:</w:t>
      </w:r>
    </w:p>
    <w:bookmarkStart w:id="23" w:name="data"/>
    <w:p>
      <w:pPr>
        <w:pStyle w:val="Heading3"/>
      </w:pPr>
      <w:r>
        <w:t xml:space="preserve">Data</w:t>
      </w:r>
    </w:p>
    <w:p>
      <w:pPr>
        <w:pStyle w:val="Compact"/>
        <w:numPr>
          <w:ilvl w:val="0"/>
          <w:numId w:val="1008"/>
        </w:numPr>
      </w:pPr>
      <w:r>
        <w:t xml:space="preserve">Pipeline failures</w:t>
      </w:r>
    </w:p>
    <w:p>
      <w:pPr>
        <w:pStyle w:val="Compact"/>
        <w:numPr>
          <w:ilvl w:val="0"/>
          <w:numId w:val="1008"/>
        </w:numPr>
      </w:pPr>
      <w:r>
        <w:t xml:space="preserve">Data freshness</w:t>
      </w:r>
    </w:p>
    <w:p>
      <w:pPr>
        <w:pStyle w:val="Compact"/>
        <w:numPr>
          <w:ilvl w:val="0"/>
          <w:numId w:val="1008"/>
        </w:numPr>
      </w:pPr>
      <w:r>
        <w:t xml:space="preserve">Processing counts</w:t>
      </w:r>
    </w:p>
    <w:p>
      <w:pPr>
        <w:pStyle w:val="Compact"/>
        <w:numPr>
          <w:ilvl w:val="0"/>
          <w:numId w:val="1008"/>
        </w:numPr>
      </w:pPr>
      <w:r>
        <w:t xml:space="preserve">Change events</w:t>
      </w:r>
    </w:p>
    <w:bookmarkEnd w:id="23"/>
    <w:bookmarkStart w:id="24" w:name="retrieval"/>
    <w:p>
      <w:pPr>
        <w:pStyle w:val="Heading3"/>
      </w:pPr>
      <w:r>
        <w:t xml:space="preserve">Retrieval</w:t>
      </w:r>
    </w:p>
    <w:p>
      <w:pPr>
        <w:pStyle w:val="Compact"/>
        <w:numPr>
          <w:ilvl w:val="0"/>
          <w:numId w:val="1009"/>
        </w:numPr>
      </w:pPr>
      <w:r>
        <w:t xml:space="preserve">Retrieval latency</w:t>
      </w:r>
    </w:p>
    <w:p>
      <w:pPr>
        <w:pStyle w:val="Compact"/>
        <w:numPr>
          <w:ilvl w:val="0"/>
          <w:numId w:val="1009"/>
        </w:numPr>
      </w:pPr>
      <w:r>
        <w:t xml:space="preserve">Empty retrievals</w:t>
      </w:r>
    </w:p>
    <w:p>
      <w:pPr>
        <w:pStyle w:val="Compact"/>
        <w:numPr>
          <w:ilvl w:val="0"/>
          <w:numId w:val="1009"/>
        </w:numPr>
      </w:pPr>
      <w:r>
        <w:t xml:space="preserve">Search quality</w:t>
      </w:r>
    </w:p>
    <w:p>
      <w:pPr>
        <w:pStyle w:val="Compact"/>
        <w:numPr>
          <w:ilvl w:val="0"/>
          <w:numId w:val="1009"/>
        </w:numPr>
      </w:pPr>
      <w:r>
        <w:t xml:space="preserve">Search synchronization</w:t>
      </w:r>
    </w:p>
    <w:bookmarkEnd w:id="24"/>
    <w:bookmarkStart w:id="25" w:name="model"/>
    <w:p>
      <w:pPr>
        <w:pStyle w:val="Heading3"/>
      </w:pPr>
      <w:r>
        <w:t xml:space="preserve">Model</w:t>
      </w:r>
    </w:p>
    <w:p>
      <w:pPr>
        <w:pStyle w:val="Compact"/>
        <w:numPr>
          <w:ilvl w:val="0"/>
          <w:numId w:val="1010"/>
        </w:numPr>
      </w:pPr>
      <w:r>
        <w:t xml:space="preserve">LLM latency</w:t>
      </w:r>
    </w:p>
    <w:p>
      <w:pPr>
        <w:pStyle w:val="Compact"/>
        <w:numPr>
          <w:ilvl w:val="0"/>
          <w:numId w:val="1010"/>
        </w:numPr>
      </w:pPr>
      <w:r>
        <w:t xml:space="preserve">Token usage</w:t>
      </w:r>
    </w:p>
    <w:p>
      <w:pPr>
        <w:pStyle w:val="Compact"/>
        <w:numPr>
          <w:ilvl w:val="0"/>
          <w:numId w:val="1010"/>
        </w:numPr>
      </w:pPr>
      <w:r>
        <w:t xml:space="preserve">Model failures</w:t>
      </w:r>
    </w:p>
    <w:p>
      <w:pPr>
        <w:pStyle w:val="Compact"/>
        <w:numPr>
          <w:ilvl w:val="0"/>
          <w:numId w:val="1010"/>
        </w:numPr>
      </w:pPr>
      <w:r>
        <w:t xml:space="preserve">Cost</w:t>
      </w:r>
    </w:p>
    <w:bookmarkEnd w:id="25"/>
    <w:bookmarkStart w:id="26" w:name="agent"/>
    <w:p>
      <w:pPr>
        <w:pStyle w:val="Heading3"/>
      </w:pPr>
      <w:r>
        <w:t xml:space="preserve">Agent</w:t>
      </w:r>
    </w:p>
    <w:p>
      <w:pPr>
        <w:pStyle w:val="Compact"/>
        <w:numPr>
          <w:ilvl w:val="0"/>
          <w:numId w:val="1011"/>
        </w:numPr>
      </w:pPr>
      <w:r>
        <w:t xml:space="preserve">Tool selection</w:t>
      </w:r>
    </w:p>
    <w:p>
      <w:pPr>
        <w:pStyle w:val="Compact"/>
        <w:numPr>
          <w:ilvl w:val="0"/>
          <w:numId w:val="1011"/>
        </w:numPr>
      </w:pPr>
      <w:r>
        <w:t xml:space="preserve">Tool execution</w:t>
      </w:r>
    </w:p>
    <w:p>
      <w:pPr>
        <w:pStyle w:val="Compact"/>
        <w:numPr>
          <w:ilvl w:val="0"/>
          <w:numId w:val="1011"/>
        </w:numPr>
      </w:pPr>
      <w:r>
        <w:t xml:space="preserve">SQL execution</w:t>
      </w:r>
    </w:p>
    <w:p>
      <w:pPr>
        <w:pStyle w:val="Compact"/>
        <w:numPr>
          <w:ilvl w:val="0"/>
          <w:numId w:val="1011"/>
        </w:numPr>
      </w:pPr>
      <w:r>
        <w:t xml:space="preserve">Task completion</w:t>
      </w:r>
    </w:p>
    <w:bookmarkEnd w:id="26"/>
    <w:bookmarkStart w:id="27" w:name="security"/>
    <w:p>
      <w:pPr>
        <w:pStyle w:val="Heading3"/>
      </w:pPr>
      <w:r>
        <w:t xml:space="preserve">Security</w:t>
      </w:r>
    </w:p>
    <w:p>
      <w:pPr>
        <w:pStyle w:val="Compact"/>
        <w:numPr>
          <w:ilvl w:val="0"/>
          <w:numId w:val="1012"/>
        </w:numPr>
      </w:pPr>
      <w:r>
        <w:t xml:space="preserve">Guardrail violations</w:t>
      </w:r>
    </w:p>
    <w:p>
      <w:pPr>
        <w:pStyle w:val="Compact"/>
        <w:numPr>
          <w:ilvl w:val="0"/>
          <w:numId w:val="1012"/>
        </w:numPr>
      </w:pPr>
      <w:r>
        <w:t xml:space="preserve">Unauthorized retrieval attempts</w:t>
      </w:r>
    </w:p>
    <w:p>
      <w:pPr>
        <w:pStyle w:val="Compact"/>
        <w:numPr>
          <w:ilvl w:val="0"/>
          <w:numId w:val="1012"/>
        </w:numPr>
      </w:pPr>
      <w:r>
        <w:t xml:space="preserve">PII detection</w:t>
      </w:r>
    </w:p>
    <w:p>
      <w:pPr>
        <w:pStyle w:val="Compact"/>
        <w:numPr>
          <w:ilvl w:val="0"/>
          <w:numId w:val="1012"/>
        </w:numPr>
      </w:pPr>
      <w:r>
        <w:t xml:space="preserve">Prompt injection</w:t>
      </w:r>
    </w:p>
    <w:p>
      <w:pPr>
        <w:pStyle w:val="FirstParagraph"/>
      </w:pPr>
      <w:r>
        <w:t xml:space="preserve">These capabilities must be added as part of the FDE implementation.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urrent-state-challenges"/>
    <w:p>
      <w:pPr>
        <w:pStyle w:val="Heading1"/>
      </w:pPr>
      <w:r>
        <w:t xml:space="preserve">14. Current-State Challenges</w:t>
      </w:r>
    </w:p>
    <w:p>
      <w:pPr>
        <w:pStyle w:val="FirstParagraph"/>
      </w:pPr>
      <w:r>
        <w:t xml:space="preserve">The primary current-state challenges are:</w:t>
      </w:r>
    </w:p>
    <w:p>
      <w:pPr>
        <w:pStyle w:val="Compact"/>
        <w:numPr>
          <w:ilvl w:val="0"/>
          <w:numId w:val="1013"/>
        </w:numPr>
      </w:pPr>
      <w:r>
        <w:t xml:space="preserve">Enterprise documents exist at significant scale.</w:t>
      </w:r>
    </w:p>
    <w:p>
      <w:pPr>
        <w:pStyle w:val="Compact"/>
        <w:numPr>
          <w:ilvl w:val="0"/>
          <w:numId w:val="1013"/>
        </w:numPr>
      </w:pPr>
      <w:r>
        <w:t xml:space="preserve">Structured fraud data and unstructured knowledge are separated.</w:t>
      </w:r>
    </w:p>
    <w:p>
      <w:pPr>
        <w:pStyle w:val="Compact"/>
        <w:numPr>
          <w:ilvl w:val="0"/>
          <w:numId w:val="1013"/>
        </w:numPr>
      </w:pPr>
      <w:r>
        <w:t xml:space="preserve">Existing fraud pipelines must remain unchanged.</w:t>
      </w:r>
    </w:p>
    <w:p>
      <w:pPr>
        <w:pStyle w:val="Compact"/>
        <w:numPr>
          <w:ilvl w:val="0"/>
          <w:numId w:val="1013"/>
        </w:numPr>
      </w:pPr>
      <w:r>
        <w:t xml:space="preserve">Document processing needs an incremental architecture.</w:t>
      </w:r>
    </w:p>
    <w:p>
      <w:pPr>
        <w:pStyle w:val="Compact"/>
        <w:numPr>
          <w:ilvl w:val="0"/>
          <w:numId w:val="1013"/>
        </w:numPr>
      </w:pPr>
      <w:r>
        <w:t xml:space="preserve">Document versioning needs to be preserved.</w:t>
      </w:r>
    </w:p>
    <w:p>
      <w:pPr>
        <w:pStyle w:val="Compact"/>
        <w:numPr>
          <w:ilvl w:val="0"/>
          <w:numId w:val="1013"/>
        </w:numPr>
      </w:pPr>
      <w:r>
        <w:t xml:space="preserve">Semantic retrieval is required.</w:t>
      </w:r>
    </w:p>
    <w:p>
      <w:pPr>
        <w:pStyle w:val="Compact"/>
        <w:numPr>
          <w:ilvl w:val="0"/>
          <w:numId w:val="1013"/>
        </w:numPr>
      </w:pPr>
      <w:r>
        <w:t xml:space="preserve">Exact terminology requires keyword/full-text retrieval in addition to semantic retrieval.</w:t>
      </w:r>
    </w:p>
    <w:p>
      <w:pPr>
        <w:pStyle w:val="Compact"/>
        <w:numPr>
          <w:ilvl w:val="0"/>
          <w:numId w:val="1013"/>
        </w:numPr>
      </w:pPr>
      <w:r>
        <w:t xml:space="preserve">Natural-language fraud analytics requires controlled SQL execution.</w:t>
      </w:r>
    </w:p>
    <w:p>
      <w:pPr>
        <w:pStyle w:val="Compact"/>
        <w:numPr>
          <w:ilvl w:val="0"/>
          <w:numId w:val="1013"/>
        </w:numPr>
      </w:pPr>
      <w:r>
        <w:t xml:space="preserve">AI access must respect enterprise authorization.</w:t>
      </w:r>
    </w:p>
    <w:p>
      <w:pPr>
        <w:pStyle w:val="Compact"/>
        <w:numPr>
          <w:ilvl w:val="0"/>
          <w:numId w:val="1013"/>
        </w:numPr>
      </w:pPr>
      <w:r>
        <w:t xml:space="preserve">RAG quality requires continuous evaluation.</w:t>
      </w:r>
    </w:p>
    <w:p>
      <w:pPr>
        <w:pStyle w:val="Compact"/>
        <w:numPr>
          <w:ilvl w:val="0"/>
          <w:numId w:val="1013"/>
        </w:numPr>
      </w:pPr>
      <w:r>
        <w:t xml:space="preserve">Agent behavior requires evaluation.</w:t>
      </w:r>
    </w:p>
    <w:p>
      <w:pPr>
        <w:pStyle w:val="Compact"/>
        <w:numPr>
          <w:ilvl w:val="0"/>
          <w:numId w:val="1013"/>
        </w:numPr>
      </w:pPr>
      <w:r>
        <w:t xml:space="preserve">Production AI requires observability and cost management.</w:t>
      </w:r>
    </w:p>
    <w:p>
      <w:r>
        <w:pict>
          <v:rect style="width:0;height:1.5pt" o:hralign="center" o:hrstd="t" o:hr="t"/>
        </w:pict>
      </w:r>
    </w:p>
    <w:bookmarkEnd w:id="29"/>
    <w:bookmarkStart w:id="30" w:name="as-is-fde-assessment"/>
    <w:p>
      <w:pPr>
        <w:pStyle w:val="Heading1"/>
      </w:pPr>
      <w:r>
        <w:t xml:space="preserve">15. AS-IS FDE Assessment</w:t>
      </w:r>
    </w:p>
    <w:p>
      <w:pPr>
        <w:pStyle w:val="FirstParagraph"/>
      </w:pPr>
      <w:r>
        <w:t xml:space="preserve">The FDE assessment concludes that the client does not require a replacement of its existing fraud data platform.</w:t>
      </w:r>
    </w:p>
    <w:p>
      <w:pPr>
        <w:pStyle w:val="BodyText"/>
      </w:pPr>
      <w:r>
        <w:t xml:space="preserve">Instead, the architecture should introduce a new governed AI capability around the existing platform.</w:t>
      </w:r>
    </w:p>
    <w:p>
      <w:pPr>
        <w:pStyle w:val="BodyText"/>
      </w:pPr>
      <w:r>
        <w:t xml:space="preserve">The current-state foundation is therefore:</w:t>
      </w:r>
    </w:p>
    <w:p>
      <w:pPr>
        <w:pStyle w:val="SourceCode"/>
      </w:pPr>
      <w:r>
        <w:rPr>
          <w:rStyle w:val="VerbatimChar"/>
        </w:rPr>
        <w:t xml:space="preserve">                 EXISTING ENTERPRISE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+--------------+--------------+</w:t>
      </w:r>
      <w:r>
        <w:br/>
      </w:r>
      <w:r>
        <w:rPr>
          <w:rStyle w:val="VerbatimChar"/>
        </w:rPr>
        <w:t xml:space="preserve">          |                             |</w:t>
      </w:r>
      <w:r>
        <w:br/>
      </w:r>
      <w:r>
        <w:rPr>
          <w:rStyle w:val="VerbatimChar"/>
        </w:rPr>
        <w:t xml:space="preserve">          v                             v</w:t>
      </w:r>
      <w:r>
        <w:br/>
      </w:r>
      <w:r>
        <w:rPr>
          <w:rStyle w:val="VerbatimChar"/>
        </w:rPr>
        <w:t xml:space="preserve">   Existing Fraud Data          Enterprise Documents</w:t>
      </w:r>
      <w:r>
        <w:br/>
      </w:r>
      <w:r>
        <w:rPr>
          <w:rStyle w:val="VerbatimChar"/>
        </w:rPr>
        <w:t xml:space="preserve">          |                             |</w:t>
      </w:r>
      <w:r>
        <w:br/>
      </w:r>
      <w:r>
        <w:rPr>
          <w:rStyle w:val="VerbatimChar"/>
        </w:rPr>
        <w:t xml:space="preserve">          v                             v</w:t>
      </w:r>
      <w:r>
        <w:br/>
      </w:r>
      <w:r>
        <w:rPr>
          <w:rStyle w:val="VerbatimChar"/>
        </w:rPr>
        <w:t xml:space="preserve">    Databricks Gold              Document Sources</w:t>
      </w:r>
      <w:r>
        <w:br/>
      </w:r>
      <w:r>
        <w:rPr>
          <w:rStyle w:val="VerbatimChar"/>
        </w:rPr>
        <w:t xml:space="preserve">          |                             |</w:t>
      </w:r>
      <w:r>
        <w:br/>
      </w:r>
      <w:r>
        <w:rPr>
          <w:rStyle w:val="VerbatimChar"/>
        </w:rPr>
        <w:t xml:space="preserve">          v                             v</w:t>
      </w:r>
      <w:r>
        <w:br/>
      </w:r>
      <w:r>
        <w:rPr>
          <w:rStyle w:val="VerbatimChar"/>
        </w:rPr>
        <w:t xml:space="preserve"> Existing Analytics             Existing Search /</w:t>
      </w:r>
      <w:r>
        <w:br/>
      </w:r>
      <w:r>
        <w:rPr>
          <w:rStyle w:val="VerbatimChar"/>
        </w:rPr>
        <w:t xml:space="preserve"> Existing Applications           Document Access</w:t>
      </w:r>
    </w:p>
    <w:p>
      <w:pPr>
        <w:pStyle w:val="FirstParagraph"/>
      </w:pPr>
      <w:r>
        <w:t xml:space="preserve">The FDE target is to connect these capabilities through a governed AI layer.</w:t>
      </w:r>
    </w:p>
    <w:p>
      <w:r>
        <w:pict>
          <v:rect style="width:0;height:1.5pt" o:hralign="center" o:hrstd="t" o:hr="t"/>
        </w:pict>
      </w:r>
    </w:p>
    <w:bookmarkEnd w:id="30"/>
    <w:bookmarkStart w:id="31" w:name="as-is-conclusion"/>
    <w:p>
      <w:pPr>
        <w:pStyle w:val="Heading1"/>
      </w:pPr>
      <w:r>
        <w:t xml:space="preserve">16. AS-IS Conclusion</w:t>
      </w:r>
    </w:p>
    <w:p>
      <w:pPr>
        <w:pStyle w:val="FirstParagraph"/>
      </w:pPr>
      <w:r>
        <w:t xml:space="preserve">The client already possesses the critical enterprise data foundation required for a Fraud Intelligence platform.</w:t>
      </w:r>
    </w:p>
    <w:p>
      <w:pPr>
        <w:pStyle w:val="BodyText"/>
      </w:pPr>
      <w:r>
        <w:t xml:space="preserve">The primary FDE opportunity is to build:</w:t>
      </w:r>
    </w:p>
    <w:p>
      <w:pPr>
        <w:pStyle w:val="BodyText"/>
      </w:pPr>
      <w:r>
        <w:rPr>
          <w:b/>
          <w:bCs/>
        </w:rPr>
        <w:t xml:space="preserve">A governed AI knowledge and reasoning layer</w:t>
      </w:r>
    </w:p>
    <w:p>
      <w:pPr>
        <w:pStyle w:val="BodyText"/>
      </w:pPr>
      <w:r>
        <w:t xml:space="preserve">without disrupting:</w:t>
      </w:r>
    </w:p>
    <w:p>
      <w:pPr>
        <w:pStyle w:val="Compact"/>
        <w:numPr>
          <w:ilvl w:val="0"/>
          <w:numId w:val="1014"/>
        </w:numPr>
      </w:pPr>
      <w:r>
        <w:t xml:space="preserve">Existing fraud pipelines</w:t>
      </w:r>
    </w:p>
    <w:p>
      <w:pPr>
        <w:pStyle w:val="Compact"/>
        <w:numPr>
          <w:ilvl w:val="0"/>
          <w:numId w:val="1014"/>
        </w:numPr>
      </w:pPr>
      <w:r>
        <w:t xml:space="preserve">Existing Gold tables</w:t>
      </w:r>
    </w:p>
    <w:p>
      <w:pPr>
        <w:pStyle w:val="Compact"/>
        <w:numPr>
          <w:ilvl w:val="0"/>
          <w:numId w:val="1014"/>
        </w:numPr>
      </w:pPr>
      <w:r>
        <w:t xml:space="preserve">Existing dashboards</w:t>
      </w:r>
    </w:p>
    <w:p>
      <w:pPr>
        <w:pStyle w:val="Compact"/>
        <w:numPr>
          <w:ilvl w:val="0"/>
          <w:numId w:val="1014"/>
        </w:numPr>
      </w:pPr>
      <w:r>
        <w:t xml:space="preserve">Existing reports</w:t>
      </w:r>
    </w:p>
    <w:p>
      <w:pPr>
        <w:pStyle w:val="Compact"/>
        <w:numPr>
          <w:ilvl w:val="0"/>
          <w:numId w:val="1014"/>
        </w:numPr>
      </w:pPr>
      <w:r>
        <w:t xml:space="preserve">Existing applications</w:t>
      </w:r>
    </w:p>
    <w:p>
      <w:pPr>
        <w:pStyle w:val="Compact"/>
        <w:numPr>
          <w:ilvl w:val="0"/>
          <w:numId w:val="1014"/>
        </w:numPr>
      </w:pPr>
      <w:r>
        <w:t xml:space="preserve">Existing business functionality</w:t>
      </w:r>
    </w:p>
    <w:p>
      <w:pPr>
        <w:pStyle w:val="FirstParagraph"/>
      </w:pPr>
      <w:r>
        <w:t xml:space="preserve">The current state can therefore be summarized as:</w:t>
      </w:r>
    </w:p>
    <w:p>
      <w:pPr>
        <w:pStyle w:val="BodyText"/>
      </w:pPr>
      <w:r>
        <w:rPr>
          <w:b/>
          <w:bCs/>
        </w:rPr>
        <w:t xml:space="preserve">Data + Documents + Existing Analytics</w:t>
      </w:r>
    </w:p>
    <w:p>
      <w:pPr>
        <w:pStyle w:val="BodyText"/>
      </w:pPr>
      <w:r>
        <w:t xml:space="preserve">requiring transformation into:</w:t>
      </w:r>
    </w:p>
    <w:p>
      <w:pPr>
        <w:pStyle w:val="BodyText"/>
      </w:pPr>
      <w:r>
        <w:rPr>
          <w:b/>
          <w:bCs/>
        </w:rPr>
        <w:t xml:space="preserve">Governed Fraud Intelligence + Enterprise Knowledge + AI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