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75722caca27940ffc9b6a87a840940580244327"/>
    <w:p>
      <w:pPr>
        <w:pStyle w:val="Heading1"/>
      </w:pPr>
      <w:r>
        <w:t xml:space="preserve">Enterprise Fraud Intelligence &amp; Governed RAG Platform</w:t>
      </w:r>
    </w:p>
    <w:bookmarkStart w:id="9" w:name="client-requirements-document"/>
    <w:p>
      <w:pPr>
        <w:pStyle w:val="Heading2"/>
      </w:pPr>
      <w:r>
        <w:t xml:space="preserve">Client Requirements Document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Business / Client Requirements Document</w:t>
      </w:r>
      <w:r>
        <w:br/>
      </w:r>
      <w:r>
        <w:rPr>
          <w:b/>
          <w:bCs/>
        </w:rPr>
        <w:t xml:space="preserve">Project Type:</w:t>
      </w:r>
      <w:r>
        <w:t xml:space="preserve"> </w:t>
      </w:r>
      <w:r>
        <w:t xml:space="preserve">Forward Deployed Engineering (FDE)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Databricks + Unity Catalog</w:t>
      </w:r>
      <w:r>
        <w:br/>
      </w:r>
      <w:r>
        <w:rPr>
          <w:b/>
          <w:bCs/>
        </w:rPr>
        <w:t xml:space="preserve">Primary Domains:</w:t>
      </w:r>
      <w:r>
        <w:t xml:space="preserve"> </w:t>
      </w:r>
      <w:r>
        <w:t xml:space="preserve">Fraud Analytics, Enterprise Knowledge Management, RAG, Agentic AI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Proposed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client currently operates a large-scale enterprise environment containing:</w:t>
      </w:r>
    </w:p>
    <w:p>
      <w:pPr>
        <w:pStyle w:val="Compact"/>
        <w:numPr>
          <w:ilvl w:val="0"/>
          <w:numId w:val="1001"/>
        </w:numPr>
      </w:pPr>
      <w:r>
        <w:t xml:space="preserve">Thousands of business and operational documents.</w:t>
      </w:r>
    </w:p>
    <w:p>
      <w:pPr>
        <w:pStyle w:val="Compact"/>
        <w:numPr>
          <w:ilvl w:val="0"/>
          <w:numId w:val="1001"/>
        </w:numPr>
      </w:pPr>
      <w:r>
        <w:t xml:space="preserve">Fraud policies and policy-related documentation.</w:t>
      </w:r>
    </w:p>
    <w:p>
      <w:pPr>
        <w:pStyle w:val="Compact"/>
        <w:numPr>
          <w:ilvl w:val="0"/>
          <w:numId w:val="1001"/>
        </w:numPr>
      </w:pPr>
      <w:r>
        <w:t xml:space="preserve">Existing fraud-processing pipelines.</w:t>
      </w:r>
    </w:p>
    <w:p>
      <w:pPr>
        <w:pStyle w:val="Compact"/>
        <w:numPr>
          <w:ilvl w:val="0"/>
          <w:numId w:val="1001"/>
        </w:numPr>
      </w:pPr>
      <w:r>
        <w:t xml:space="preserve">Processed fraud datasets stored within Databricks Gold tables.</w:t>
      </w:r>
    </w:p>
    <w:p>
      <w:pPr>
        <w:pStyle w:val="Compact"/>
        <w:numPr>
          <w:ilvl w:val="0"/>
          <w:numId w:val="1001"/>
        </w:numPr>
      </w:pPr>
      <w:r>
        <w:t xml:space="preserve">Existing analytical and business functionality that must remain unaffected.</w:t>
      </w:r>
    </w:p>
    <w:p>
      <w:pPr>
        <w:pStyle w:val="FirstParagraph"/>
      </w:pPr>
      <w:r>
        <w:t xml:space="preserve">The client requires a secure, scalable and governed AI platform that enables users to:</w:t>
      </w:r>
    </w:p>
    <w:p>
      <w:pPr>
        <w:pStyle w:val="Compact"/>
        <w:numPr>
          <w:ilvl w:val="0"/>
          <w:numId w:val="1002"/>
        </w:numPr>
      </w:pPr>
      <w:r>
        <w:t xml:space="preserve">Search and reason over enterprise documents.</w:t>
      </w:r>
    </w:p>
    <w:p>
      <w:pPr>
        <w:pStyle w:val="Compact"/>
        <w:numPr>
          <w:ilvl w:val="0"/>
          <w:numId w:val="1002"/>
        </w:numPr>
      </w:pPr>
      <w:r>
        <w:t xml:space="preserve">Query and analyze processed fraud data.</w:t>
      </w:r>
    </w:p>
    <w:p>
      <w:pPr>
        <w:pStyle w:val="Compact"/>
        <w:numPr>
          <w:ilvl w:val="0"/>
          <w:numId w:val="1002"/>
        </w:numPr>
      </w:pPr>
      <w:r>
        <w:t xml:space="preserve">Visualize fraud trends and patterns.</w:t>
      </w:r>
    </w:p>
    <w:p>
      <w:pPr>
        <w:pStyle w:val="Compact"/>
        <w:numPr>
          <w:ilvl w:val="0"/>
          <w:numId w:val="1002"/>
        </w:numPr>
      </w:pPr>
      <w:r>
        <w:t xml:space="preserve">Ask natural-language questions about fraud policies and operational data.</w:t>
      </w:r>
    </w:p>
    <w:p>
      <w:pPr>
        <w:pStyle w:val="Compact"/>
        <w:numPr>
          <w:ilvl w:val="0"/>
          <w:numId w:val="1002"/>
        </w:numPr>
      </w:pPr>
      <w:r>
        <w:t xml:space="preserve">Combine unstructured document knowledge with structured fraud data.</w:t>
      </w:r>
    </w:p>
    <w:p>
      <w:pPr>
        <w:pStyle w:val="Compact"/>
        <w:numPr>
          <w:ilvl w:val="0"/>
          <w:numId w:val="1002"/>
        </w:numPr>
      </w:pPr>
      <w:r>
        <w:t xml:space="preserve">Incrementally process newly uploaded or modified documents.</w:t>
      </w:r>
    </w:p>
    <w:p>
      <w:pPr>
        <w:pStyle w:val="Compact"/>
        <w:numPr>
          <w:ilvl w:val="0"/>
          <w:numId w:val="1002"/>
        </w:numPr>
      </w:pPr>
      <w:r>
        <w:t xml:space="preserve">Avoid unnecessary re-processing and re-indexing of existing documents.</w:t>
      </w:r>
    </w:p>
    <w:p>
      <w:pPr>
        <w:pStyle w:val="Compact"/>
        <w:numPr>
          <w:ilvl w:val="0"/>
          <w:numId w:val="1002"/>
        </w:numPr>
      </w:pPr>
      <w:r>
        <w:t xml:space="preserve">Maintain enterprise security, privacy, lineage and access controls.</w:t>
      </w:r>
    </w:p>
    <w:p>
      <w:pPr>
        <w:pStyle w:val="Compact"/>
        <w:numPr>
          <w:ilvl w:val="0"/>
          <w:numId w:val="1002"/>
        </w:numPr>
      </w:pPr>
      <w:r>
        <w:t xml:space="preserve">Evaluate RAG and agentic-system quality continuously.</w:t>
      </w:r>
    </w:p>
    <w:p>
      <w:pPr>
        <w:pStyle w:val="Compact"/>
        <w:numPr>
          <w:ilvl w:val="0"/>
          <w:numId w:val="1002"/>
        </w:numPr>
      </w:pPr>
      <w:r>
        <w:t xml:space="preserve">Deploy the final AI capability using Databricks production infrastructure.</w:t>
      </w:r>
    </w:p>
    <w:p>
      <w:pPr>
        <w:pStyle w:val="FirstParagraph"/>
      </w:pPr>
      <w:r>
        <w:t xml:space="preserve">The proposed solution establishes a governed enterprise AI architecture in which the</w:t>
      </w:r>
      <w:r>
        <w:t xml:space="preserve"> </w:t>
      </w:r>
      <w:r>
        <w:rPr>
          <w:b/>
          <w:bCs/>
        </w:rPr>
        <w:t xml:space="preserve">Databricks + Unity Catalog environment becomes the governed data and knowledge foundation</w:t>
      </w:r>
      <w:r>
        <w:t xml:space="preserve">, while application and agent components consume those governed assets through controlled interfaces.</w:t>
      </w:r>
    </w:p>
    <w:p>
      <w:r>
        <w:pict>
          <v:rect style="width:0;height:1.5pt" o:hralign="center" o:hrstd="t" o:hr="t"/>
        </w:pict>
      </w:r>
    </w:p>
    <w:bookmarkEnd w:id="11"/>
    <w:bookmarkStart w:id="13" w:name="business-problem"/>
    <w:p>
      <w:pPr>
        <w:pStyle w:val="Heading1"/>
      </w:pPr>
      <w:r>
        <w:t xml:space="preserve">2. Business Problem</w:t>
      </w:r>
    </w:p>
    <w:p>
      <w:pPr>
        <w:pStyle w:val="FirstParagraph"/>
      </w:pPr>
      <w:r>
        <w:t xml:space="preserve">The existing environment creates several challenges.</w:t>
      </w:r>
    </w:p>
    <w:bookmarkStart w:id="12" w:name="document-scale"/>
    <w:p>
      <w:pPr>
        <w:pStyle w:val="Heading2"/>
      </w:pPr>
      <w:r>
        <w:t xml:space="preserve">2.1 Document Scale</w:t>
      </w:r>
    </w:p>
    <w:p>
      <w:pPr>
        <w:pStyle w:val="FirstParagraph"/>
      </w:pPr>
      <w:r>
        <w:t xml:space="preserve">The organization maintains thousands of documents across multiple business domains.</w:t>
      </w:r>
    </w:p>
    <w:p>
      <w:pPr>
        <w:pStyle w:val="BodyText"/>
      </w:pPr>
      <w:r>
        <w:t xml:space="preserve">Documents may include:</w:t>
      </w:r>
    </w:p>
    <w:p>
      <w:pPr>
        <w:pStyle w:val="Compact"/>
        <w:numPr>
          <w:ilvl w:val="0"/>
          <w:numId w:val="1003"/>
        </w:numPr>
      </w:pPr>
      <w:r>
        <w:t xml:space="preserve">Fraud policies</w:t>
      </w:r>
    </w:p>
    <w:p>
      <w:pPr>
        <w:pStyle w:val="Compact"/>
        <w:numPr>
          <w:ilvl w:val="0"/>
          <w:numId w:val="1003"/>
        </w:numPr>
      </w:pPr>
      <w:r>
        <w:t xml:space="preserve">Standard operating procedures</w:t>
      </w:r>
    </w:p>
    <w:p>
      <w:pPr>
        <w:pStyle w:val="Compact"/>
        <w:numPr>
          <w:ilvl w:val="0"/>
          <w:numId w:val="1003"/>
        </w:numPr>
      </w:pPr>
      <w:r>
        <w:t xml:space="preserve">Investigation procedures</w:t>
      </w:r>
    </w:p>
    <w:p>
      <w:pPr>
        <w:pStyle w:val="Compact"/>
        <w:numPr>
          <w:ilvl w:val="0"/>
          <w:numId w:val="1003"/>
        </w:numPr>
      </w:pPr>
      <w:r>
        <w:t xml:space="preserve">Compliance documents</w:t>
      </w:r>
    </w:p>
    <w:p>
      <w:pPr>
        <w:pStyle w:val="Compact"/>
        <w:numPr>
          <w:ilvl w:val="0"/>
          <w:numId w:val="1003"/>
        </w:numPr>
      </w:pPr>
      <w:r>
        <w:t xml:space="preserve">Regulatory documentation</w:t>
      </w:r>
    </w:p>
    <w:p>
      <w:pPr>
        <w:pStyle w:val="Compact"/>
        <w:numPr>
          <w:ilvl w:val="0"/>
          <w:numId w:val="1003"/>
        </w:numPr>
      </w:pPr>
      <w:r>
        <w:t xml:space="preserve">Product documentation</w:t>
      </w:r>
    </w:p>
    <w:p>
      <w:pPr>
        <w:pStyle w:val="Compact"/>
        <w:numPr>
          <w:ilvl w:val="0"/>
          <w:numId w:val="1003"/>
        </w:numPr>
      </w:pPr>
      <w:r>
        <w:t xml:space="preserve">Customer-service procedures</w:t>
      </w:r>
    </w:p>
    <w:p>
      <w:pPr>
        <w:pStyle w:val="Compact"/>
        <w:numPr>
          <w:ilvl w:val="0"/>
          <w:numId w:val="1003"/>
        </w:numPr>
      </w:pPr>
      <w:r>
        <w:t xml:space="preserve">Internal knowledge articles</w:t>
      </w:r>
    </w:p>
    <w:p>
      <w:pPr>
        <w:pStyle w:val="Compact"/>
        <w:numPr>
          <w:ilvl w:val="0"/>
          <w:numId w:val="1003"/>
        </w:numPr>
      </w:pPr>
      <w:r>
        <w:t xml:space="preserve">Fraud investigation guidelines</w:t>
      </w:r>
    </w:p>
    <w:p>
      <w:pPr>
        <w:pStyle w:val="Compact"/>
        <w:numPr>
          <w:ilvl w:val="0"/>
          <w:numId w:val="1003"/>
        </w:numPr>
      </w:pPr>
      <w:r>
        <w:t xml:space="preserve">Historical operational documentation</w:t>
      </w:r>
    </w:p>
    <w:p>
      <w:pPr>
        <w:pStyle w:val="FirstParagraph"/>
      </w:pPr>
      <w:r>
        <w:t xml:space="preserve">Traditional keyword-based search is insufficient for understanding semantic relationships between these documents.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fraud-data-problem"/>
    <w:p>
      <w:pPr>
        <w:pStyle w:val="Heading1"/>
      </w:pPr>
      <w:r>
        <w:t xml:space="preserve">3. Fraud Data Problem</w:t>
      </w:r>
    </w:p>
    <w:p>
      <w:pPr>
        <w:pStyle w:val="FirstParagraph"/>
      </w:pPr>
      <w:r>
        <w:t xml:space="preserve">Fraud data is already processed through data-engineering pipelines and stored in Databricks Gold tables.</w:t>
      </w:r>
    </w:p>
    <w:p>
      <w:pPr>
        <w:pStyle w:val="BodyText"/>
      </w:pPr>
      <w:r>
        <w:t xml:space="preserve">Business users need the ability to ask questions such as:</w:t>
      </w:r>
    </w:p>
    <w:p>
      <w:pPr>
        <w:pStyle w:val="Compact"/>
        <w:numPr>
          <w:ilvl w:val="0"/>
          <w:numId w:val="1004"/>
        </w:numPr>
      </w:pPr>
      <w:r>
        <w:t xml:space="preserve">What fraud patterns increased this month?</w:t>
      </w:r>
    </w:p>
    <w:p>
      <w:pPr>
        <w:pStyle w:val="Compact"/>
        <w:numPr>
          <w:ilvl w:val="0"/>
          <w:numId w:val="1004"/>
        </w:numPr>
      </w:pPr>
      <w:r>
        <w:t xml:space="preserve">Which fraud types are increasing?</w:t>
      </w:r>
    </w:p>
    <w:p>
      <w:pPr>
        <w:pStyle w:val="Compact"/>
        <w:numPr>
          <w:ilvl w:val="0"/>
          <w:numId w:val="1004"/>
        </w:numPr>
      </w:pPr>
      <w:r>
        <w:t xml:space="preserve">Which regions have the highest fraud rates?</w:t>
      </w:r>
    </w:p>
    <w:p>
      <w:pPr>
        <w:pStyle w:val="Compact"/>
        <w:numPr>
          <w:ilvl w:val="0"/>
          <w:numId w:val="1004"/>
        </w:numPr>
      </w:pPr>
      <w:r>
        <w:t xml:space="preserve">Which policies apply to this fraud scenario?</w:t>
      </w:r>
    </w:p>
    <w:p>
      <w:pPr>
        <w:pStyle w:val="Compact"/>
        <w:numPr>
          <w:ilvl w:val="0"/>
          <w:numId w:val="1004"/>
        </w:numPr>
      </w:pPr>
      <w:r>
        <w:t xml:space="preserve">What are the most common fraud indicators?</w:t>
      </w:r>
    </w:p>
    <w:p>
      <w:pPr>
        <w:pStyle w:val="Compact"/>
        <w:numPr>
          <w:ilvl w:val="0"/>
          <w:numId w:val="1004"/>
        </w:numPr>
      </w:pPr>
      <w:r>
        <w:t xml:space="preserve">How has a fraud metric changed over time?</w:t>
      </w:r>
    </w:p>
    <w:p>
      <w:pPr>
        <w:pStyle w:val="Compact"/>
        <w:numPr>
          <w:ilvl w:val="0"/>
          <w:numId w:val="1004"/>
        </w:numPr>
      </w:pPr>
      <w:r>
        <w:t xml:space="preserve">Which fraud cases match a particular policy?</w:t>
      </w:r>
    </w:p>
    <w:p>
      <w:pPr>
        <w:pStyle w:val="FirstParagraph"/>
      </w:pPr>
      <w:r>
        <w:t xml:space="preserve">The platform must combine:</w:t>
      </w:r>
    </w:p>
    <w:p>
      <w:pPr>
        <w:pStyle w:val="BodyText"/>
      </w:pPr>
      <w:r>
        <w:rPr>
          <w:b/>
          <w:bCs/>
        </w:rPr>
        <w:t xml:space="preserve">Structured data + unstructured enterprise knowledge</w:t>
      </w:r>
    </w:p>
    <w:p>
      <w:pPr>
        <w:pStyle w:val="BodyText"/>
      </w:pPr>
      <w:r>
        <w:t xml:space="preserve">rather than treating them as separate systems.</w:t>
      </w:r>
    </w:p>
    <w:p>
      <w:r>
        <w:pict>
          <v:rect style="width:0;height:1.5pt" o:hralign="center" o:hrstd="t" o:hr="t"/>
        </w:pict>
      </w:r>
    </w:p>
    <w:bookmarkEnd w:id="14"/>
    <w:bookmarkStart w:id="18" w:name="current-state-constraints"/>
    <w:p>
      <w:pPr>
        <w:pStyle w:val="Heading1"/>
      </w:pPr>
      <w:r>
        <w:t xml:space="preserve">4. Current-State Constraints</w:t>
      </w:r>
    </w:p>
    <w:p>
      <w:pPr>
        <w:pStyle w:val="FirstParagraph"/>
      </w:pPr>
      <w:r>
        <w:t xml:space="preserve">The solution must operate within the following constraints:</w:t>
      </w:r>
    </w:p>
    <w:bookmarkStart w:id="15" w:name="existing-systems-must-not-be-disrupted"/>
    <w:p>
      <w:pPr>
        <w:pStyle w:val="Heading3"/>
      </w:pPr>
      <w:r>
        <w:t xml:space="preserve">4.1 Existing systems must not be disrupted</w:t>
      </w:r>
    </w:p>
    <w:p>
      <w:pPr>
        <w:pStyle w:val="FirstParagraph"/>
      </w:pPr>
      <w:r>
        <w:t xml:space="preserve">Existing:</w:t>
      </w:r>
    </w:p>
    <w:p>
      <w:pPr>
        <w:pStyle w:val="Compact"/>
        <w:numPr>
          <w:ilvl w:val="0"/>
          <w:numId w:val="1005"/>
        </w:numPr>
      </w:pPr>
      <w:r>
        <w:t xml:space="preserve">ETL pipelines</w:t>
      </w:r>
    </w:p>
    <w:p>
      <w:pPr>
        <w:pStyle w:val="Compact"/>
        <w:numPr>
          <w:ilvl w:val="0"/>
          <w:numId w:val="1005"/>
        </w:numPr>
      </w:pPr>
      <w:r>
        <w:t xml:space="preserve">Gold tables</w:t>
      </w:r>
    </w:p>
    <w:p>
      <w:pPr>
        <w:pStyle w:val="Compact"/>
        <w:numPr>
          <w:ilvl w:val="0"/>
          <w:numId w:val="1005"/>
        </w:numPr>
      </w:pPr>
      <w:r>
        <w:t xml:space="preserve">Dashboards</w:t>
      </w:r>
    </w:p>
    <w:p>
      <w:pPr>
        <w:pStyle w:val="Compact"/>
        <w:numPr>
          <w:ilvl w:val="0"/>
          <w:numId w:val="1005"/>
        </w:numPr>
      </w:pPr>
      <w:r>
        <w:t xml:space="preserve">Reports</w:t>
      </w:r>
    </w:p>
    <w:p>
      <w:pPr>
        <w:pStyle w:val="Compact"/>
        <w:numPr>
          <w:ilvl w:val="0"/>
          <w:numId w:val="1005"/>
        </w:numPr>
      </w:pPr>
      <w:r>
        <w:t xml:space="preserve">Business applications</w:t>
      </w:r>
    </w:p>
    <w:p>
      <w:pPr>
        <w:pStyle w:val="Compact"/>
        <w:numPr>
          <w:ilvl w:val="0"/>
          <w:numId w:val="1005"/>
        </w:numPr>
      </w:pPr>
      <w:r>
        <w:t xml:space="preserve">Fraud-processing logic</w:t>
      </w:r>
    </w:p>
    <w:p>
      <w:pPr>
        <w:pStyle w:val="FirstParagraph"/>
      </w:pPr>
      <w:r>
        <w:t xml:space="preserve">must continue operating normally.</w:t>
      </w:r>
    </w:p>
    <w:bookmarkEnd w:id="15"/>
    <w:bookmarkStart w:id="16" w:name="enterprise-data-privacy"/>
    <w:p>
      <w:pPr>
        <w:pStyle w:val="Heading3"/>
      </w:pPr>
      <w:r>
        <w:t xml:space="preserve">4.2 Enterprise data privacy</w:t>
      </w:r>
    </w:p>
    <w:p>
      <w:pPr>
        <w:pStyle w:val="FirstParagraph"/>
      </w:pPr>
      <w:r>
        <w:t xml:space="preserve">Sensitive enterprise data must remain under enterprise governance.</w:t>
      </w:r>
    </w:p>
    <w:p>
      <w:pPr>
        <w:pStyle w:val="BodyText"/>
      </w:pPr>
      <w:r>
        <w:t xml:space="preserve">The solution must avoid unnecessary movement of raw documents or sensitive datasets to uncontrolled external storage.</w:t>
      </w:r>
    </w:p>
    <w:bookmarkEnd w:id="16"/>
    <w:bookmarkStart w:id="17" w:name="incremental-processing"/>
    <w:p>
      <w:pPr>
        <w:pStyle w:val="Heading3"/>
      </w:pPr>
      <w:r>
        <w:t xml:space="preserve">4.3 Incremental processing</w:t>
      </w:r>
    </w:p>
    <w:p>
      <w:pPr>
        <w:pStyle w:val="FirstParagraph"/>
      </w:pPr>
      <w:r>
        <w:t xml:space="preserve">Uploading one document must not result in:</w:t>
      </w:r>
    </w:p>
    <w:p>
      <w:pPr>
        <w:pStyle w:val="BlockText"/>
      </w:pPr>
      <w:r>
        <w:t xml:space="preserve">Reprocessing thousands of existing documents.</w:t>
      </w:r>
    </w:p>
    <w:p>
      <w:pPr>
        <w:pStyle w:val="FirstParagraph"/>
      </w:pPr>
      <w:r>
        <w:t xml:space="preserve">The architecture must support:</w:t>
      </w:r>
    </w:p>
    <w:p>
      <w:pPr>
        <w:pStyle w:val="Compact"/>
        <w:numPr>
          <w:ilvl w:val="0"/>
          <w:numId w:val="1006"/>
        </w:numPr>
      </w:pPr>
      <w:r>
        <w:t xml:space="preserve">Incremental ingestion</w:t>
      </w:r>
    </w:p>
    <w:p>
      <w:pPr>
        <w:pStyle w:val="Compact"/>
        <w:numPr>
          <w:ilvl w:val="0"/>
          <w:numId w:val="1006"/>
        </w:numPr>
      </w:pPr>
      <w:r>
        <w:t xml:space="preserve">Incremental parsing</w:t>
      </w:r>
    </w:p>
    <w:p>
      <w:pPr>
        <w:pStyle w:val="Compact"/>
        <w:numPr>
          <w:ilvl w:val="0"/>
          <w:numId w:val="1006"/>
        </w:numPr>
      </w:pPr>
      <w:r>
        <w:t xml:space="preserve">Incremental chunking</w:t>
      </w:r>
    </w:p>
    <w:p>
      <w:pPr>
        <w:pStyle w:val="Compact"/>
        <w:numPr>
          <w:ilvl w:val="0"/>
          <w:numId w:val="1006"/>
        </w:numPr>
      </w:pPr>
      <w:r>
        <w:t xml:space="preserve">Incremental embedding</w:t>
      </w:r>
    </w:p>
    <w:p>
      <w:pPr>
        <w:pStyle w:val="Compact"/>
        <w:numPr>
          <w:ilvl w:val="0"/>
          <w:numId w:val="1006"/>
        </w:numPr>
      </w:pPr>
      <w:r>
        <w:t xml:space="preserve">Incremental indexing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business-objectives"/>
    <w:p>
      <w:pPr>
        <w:pStyle w:val="Heading1"/>
      </w:pPr>
      <w:r>
        <w:t xml:space="preserve">5. Business Objectives</w:t>
      </w:r>
    </w:p>
    <w:bookmarkStart w:id="19" w:name="X7583a60e4edb038c2b223f68366782197da3df3"/>
    <w:p>
      <w:pPr>
        <w:pStyle w:val="Heading2"/>
      </w:pPr>
      <w:r>
        <w:t xml:space="preserve">Objective 1 — Enterprise Document Intelligence</w:t>
      </w:r>
    </w:p>
    <w:p>
      <w:pPr>
        <w:pStyle w:val="FirstParagraph"/>
      </w:pPr>
      <w:r>
        <w:t xml:space="preserve">Provide semantic search and question-answering over enterprise documents.</w:t>
      </w:r>
    </w:p>
    <w:bookmarkEnd w:id="19"/>
    <w:bookmarkStart w:id="20" w:name="objective-2-fraud-intelligence"/>
    <w:p>
      <w:pPr>
        <w:pStyle w:val="Heading2"/>
      </w:pPr>
      <w:r>
        <w:t xml:space="preserve">Objective 2 — Fraud Intelligence</w:t>
      </w:r>
    </w:p>
    <w:p>
      <w:pPr>
        <w:pStyle w:val="FirstParagraph"/>
      </w:pPr>
      <w:r>
        <w:t xml:space="preserve">Allow users to query and visualize fraud data using natural language.</w:t>
      </w:r>
    </w:p>
    <w:bookmarkEnd w:id="20"/>
    <w:bookmarkStart w:id="21" w:name="objective-3-unified-knowledge"/>
    <w:p>
      <w:pPr>
        <w:pStyle w:val="Heading2"/>
      </w:pPr>
      <w:r>
        <w:t xml:space="preserve">Objective 3 — Unified Knowledge</w:t>
      </w:r>
    </w:p>
    <w:p>
      <w:pPr>
        <w:pStyle w:val="FirstParagraph"/>
      </w:pPr>
      <w:r>
        <w:t xml:space="preserve">Connect:</w:t>
      </w:r>
    </w:p>
    <w:p>
      <w:pPr>
        <w:pStyle w:val="BodyText"/>
      </w:pPr>
      <w:r>
        <w:rPr>
          <w:b/>
          <w:bCs/>
        </w:rPr>
        <w:t xml:space="preserve">Fraud data + Fraud policies + Enterprise documents</w:t>
      </w:r>
    </w:p>
    <w:p>
      <w:pPr>
        <w:pStyle w:val="BodyText"/>
      </w:pPr>
      <w:r>
        <w:t xml:space="preserve">into one governed AI experience.</w:t>
      </w:r>
    </w:p>
    <w:bookmarkEnd w:id="21"/>
    <w:bookmarkStart w:id="22" w:name="objective-4-incremental-architecture"/>
    <w:p>
      <w:pPr>
        <w:pStyle w:val="Heading2"/>
      </w:pPr>
      <w:r>
        <w:t xml:space="preserve">Objective 4 — Incremental Architecture</w:t>
      </w:r>
    </w:p>
    <w:p>
      <w:pPr>
        <w:pStyle w:val="FirstParagraph"/>
      </w:pPr>
      <w:r>
        <w:t xml:space="preserve">Only process data that is:</w:t>
      </w:r>
    </w:p>
    <w:p>
      <w:pPr>
        <w:pStyle w:val="Compact"/>
        <w:numPr>
          <w:ilvl w:val="0"/>
          <w:numId w:val="1007"/>
        </w:numPr>
      </w:pPr>
      <w:r>
        <w:t xml:space="preserve">New</w:t>
      </w:r>
    </w:p>
    <w:p>
      <w:pPr>
        <w:pStyle w:val="Compact"/>
        <w:numPr>
          <w:ilvl w:val="0"/>
          <w:numId w:val="1007"/>
        </w:numPr>
      </w:pPr>
      <w:r>
        <w:t xml:space="preserve">Modified</w:t>
      </w:r>
    </w:p>
    <w:p>
      <w:pPr>
        <w:pStyle w:val="Compact"/>
        <w:numPr>
          <w:ilvl w:val="0"/>
          <w:numId w:val="1007"/>
        </w:numPr>
      </w:pPr>
      <w:r>
        <w:t xml:space="preserve">Deleted</w:t>
      </w:r>
    </w:p>
    <w:p>
      <w:pPr>
        <w:pStyle w:val="FirstParagraph"/>
      </w:pPr>
      <w:r>
        <w:t xml:space="preserve">where applicable.</w:t>
      </w:r>
    </w:p>
    <w:bookmarkEnd w:id="22"/>
    <w:bookmarkStart w:id="23" w:name="objective-5-enterprise-governance"/>
    <w:p>
      <w:pPr>
        <w:pStyle w:val="Heading2"/>
      </w:pPr>
      <w:r>
        <w:t xml:space="preserve">Objective 5 — Enterprise Governance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08"/>
        </w:numPr>
      </w:pPr>
      <w:r>
        <w:t xml:space="preserve">Unity Catalog governance</w:t>
      </w:r>
    </w:p>
    <w:p>
      <w:pPr>
        <w:pStyle w:val="Compact"/>
        <w:numPr>
          <w:ilvl w:val="0"/>
          <w:numId w:val="1008"/>
        </w:numPr>
      </w:pPr>
      <w:r>
        <w:t xml:space="preserve">RBAC/ABAC</w:t>
      </w:r>
    </w:p>
    <w:p>
      <w:pPr>
        <w:pStyle w:val="Compact"/>
        <w:numPr>
          <w:ilvl w:val="0"/>
          <w:numId w:val="1008"/>
        </w:numPr>
      </w:pPr>
      <w:r>
        <w:t xml:space="preserve">Data lineage</w:t>
      </w:r>
    </w:p>
    <w:p>
      <w:pPr>
        <w:pStyle w:val="Compact"/>
        <w:numPr>
          <w:ilvl w:val="0"/>
          <w:numId w:val="1008"/>
        </w:numPr>
      </w:pPr>
      <w:r>
        <w:t xml:space="preserve">Auditability</w:t>
      </w:r>
    </w:p>
    <w:p>
      <w:pPr>
        <w:pStyle w:val="Compact"/>
        <w:numPr>
          <w:ilvl w:val="0"/>
          <w:numId w:val="1008"/>
        </w:numPr>
      </w:pPr>
      <w:r>
        <w:t xml:space="preserve">Access control</w:t>
      </w:r>
    </w:p>
    <w:p>
      <w:pPr>
        <w:pStyle w:val="Compact"/>
        <w:numPr>
          <w:ilvl w:val="0"/>
          <w:numId w:val="1008"/>
        </w:numPr>
      </w:pPr>
      <w:r>
        <w:t xml:space="preserve">PII protection</w:t>
      </w:r>
    </w:p>
    <w:p>
      <w:pPr>
        <w:pStyle w:val="Compact"/>
        <w:numPr>
          <w:ilvl w:val="0"/>
          <w:numId w:val="1008"/>
        </w:numPr>
      </w:pPr>
      <w:r>
        <w:t xml:space="preserve">Model governance</w:t>
      </w:r>
    </w:p>
    <w:p>
      <w:pPr>
        <w:pStyle w:val="Compact"/>
        <w:numPr>
          <w:ilvl w:val="0"/>
          <w:numId w:val="1008"/>
        </w:numPr>
      </w:pPr>
      <w:r>
        <w:t xml:space="preserve">AI guardrails</w:t>
      </w:r>
    </w:p>
    <w:bookmarkEnd w:id="23"/>
    <w:bookmarkStart w:id="24" w:name="objective-6-production-readiness"/>
    <w:p>
      <w:pPr>
        <w:pStyle w:val="Heading2"/>
      </w:pPr>
      <w:r>
        <w:t xml:space="preserve">Objective 6 — Production Readiness</w:t>
      </w:r>
    </w:p>
    <w:p>
      <w:pPr>
        <w:pStyle w:val="FirstParagraph"/>
      </w:pPr>
      <w:r>
        <w:t xml:space="preserve">The solution must be designed for:</w:t>
      </w:r>
    </w:p>
    <w:p>
      <w:pPr>
        <w:pStyle w:val="Compact"/>
        <w:numPr>
          <w:ilvl w:val="0"/>
          <w:numId w:val="1009"/>
        </w:numPr>
      </w:pPr>
      <w:r>
        <w:t xml:space="preserve">Reliability</w:t>
      </w:r>
    </w:p>
    <w:p>
      <w:pPr>
        <w:pStyle w:val="Compact"/>
        <w:numPr>
          <w:ilvl w:val="0"/>
          <w:numId w:val="1009"/>
        </w:numPr>
      </w:pPr>
      <w:r>
        <w:t xml:space="preserve">Scalability</w:t>
      </w:r>
    </w:p>
    <w:p>
      <w:pPr>
        <w:pStyle w:val="Compact"/>
        <w:numPr>
          <w:ilvl w:val="0"/>
          <w:numId w:val="1009"/>
        </w:numPr>
      </w:pPr>
      <w:r>
        <w:t xml:space="preserve">Observability</w:t>
      </w:r>
    </w:p>
    <w:p>
      <w:pPr>
        <w:pStyle w:val="Compact"/>
        <w:numPr>
          <w:ilvl w:val="0"/>
          <w:numId w:val="1009"/>
        </w:numPr>
      </w:pPr>
      <w:r>
        <w:t xml:space="preserve">Cost management</w:t>
      </w:r>
    </w:p>
    <w:p>
      <w:pPr>
        <w:pStyle w:val="Compact"/>
        <w:numPr>
          <w:ilvl w:val="0"/>
          <w:numId w:val="1009"/>
        </w:numPr>
      </w:pPr>
      <w:r>
        <w:t xml:space="preserve">Security</w:t>
      </w:r>
    </w:p>
    <w:p>
      <w:pPr>
        <w:pStyle w:val="Compact"/>
        <w:numPr>
          <w:ilvl w:val="0"/>
          <w:numId w:val="1009"/>
        </w:numPr>
      </w:pPr>
      <w:r>
        <w:t xml:space="preserve">Evaluation</w:t>
      </w:r>
    </w:p>
    <w:p>
      <w:pPr>
        <w:pStyle w:val="Compact"/>
        <w:numPr>
          <w:ilvl w:val="0"/>
          <w:numId w:val="1009"/>
        </w:numPr>
      </w:pPr>
      <w:r>
        <w:t xml:space="preserve">Disaster recovery</w:t>
      </w:r>
    </w:p>
    <w:p>
      <w:pPr>
        <w:pStyle w:val="Compact"/>
        <w:numPr>
          <w:ilvl w:val="0"/>
          <w:numId w:val="1009"/>
        </w:numPr>
      </w:pPr>
      <w:r>
        <w:t xml:space="preserve">Operational support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target-users"/>
    <w:p>
      <w:pPr>
        <w:pStyle w:val="Heading1"/>
      </w:pPr>
      <w:r>
        <w:t xml:space="preserve">6. Target Users</w:t>
      </w:r>
    </w:p>
    <w:bookmarkStart w:id="26" w:name="fraud-analysts"/>
    <w:p>
      <w:pPr>
        <w:pStyle w:val="Heading2"/>
      </w:pPr>
      <w:r>
        <w:t xml:space="preserve">Fraud Analysts</w:t>
      </w:r>
    </w:p>
    <w:p>
      <w:pPr>
        <w:pStyle w:val="FirstParagraph"/>
      </w:pPr>
      <w:r>
        <w:t xml:space="preserve">Need to investigate fraud patterns and understand applicable policies.</w:t>
      </w:r>
    </w:p>
    <w:bookmarkEnd w:id="26"/>
    <w:bookmarkStart w:id="27" w:name="fraud-operations"/>
    <w:p>
      <w:pPr>
        <w:pStyle w:val="Heading2"/>
      </w:pPr>
      <w:r>
        <w:t xml:space="preserve">Fraud Operations</w:t>
      </w:r>
    </w:p>
    <w:p>
      <w:pPr>
        <w:pStyle w:val="FirstParagraph"/>
      </w:pPr>
      <w:r>
        <w:t xml:space="preserve">Need operational insights and case investigation support.</w:t>
      </w:r>
    </w:p>
    <w:bookmarkEnd w:id="27"/>
    <w:bookmarkStart w:id="28" w:name="compliance-teams"/>
    <w:p>
      <w:pPr>
        <w:pStyle w:val="Heading2"/>
      </w:pPr>
      <w:r>
        <w:t xml:space="preserve">Compliance Teams</w:t>
      </w:r>
    </w:p>
    <w:p>
      <w:pPr>
        <w:pStyle w:val="FirstParagraph"/>
      </w:pPr>
      <w:r>
        <w:t xml:space="preserve">Need policy-aware search and evidence retrieval.</w:t>
      </w:r>
    </w:p>
    <w:bookmarkEnd w:id="28"/>
    <w:bookmarkStart w:id="29" w:name="data-analysts"/>
    <w:p>
      <w:pPr>
        <w:pStyle w:val="Heading2"/>
      </w:pPr>
      <w:r>
        <w:t xml:space="preserve">Data Analysts</w:t>
      </w:r>
    </w:p>
    <w:p>
      <w:pPr>
        <w:pStyle w:val="FirstParagraph"/>
      </w:pPr>
      <w:r>
        <w:t xml:space="preserve">Need structured fraud-data exploration.</w:t>
      </w:r>
    </w:p>
    <w:bookmarkEnd w:id="29"/>
    <w:bookmarkStart w:id="30" w:name="business-users"/>
    <w:p>
      <w:pPr>
        <w:pStyle w:val="Heading2"/>
      </w:pPr>
      <w:r>
        <w:t xml:space="preserve">Business Users</w:t>
      </w:r>
    </w:p>
    <w:p>
      <w:pPr>
        <w:pStyle w:val="FirstParagraph"/>
      </w:pPr>
      <w:r>
        <w:t xml:space="preserve">Need natural-language access to approved information.</w:t>
      </w:r>
    </w:p>
    <w:bookmarkEnd w:id="30"/>
    <w:bookmarkStart w:id="31" w:name="data-engineers"/>
    <w:p>
      <w:pPr>
        <w:pStyle w:val="Heading2"/>
      </w:pPr>
      <w:r>
        <w:t xml:space="preserve">Data Engineers</w:t>
      </w:r>
    </w:p>
    <w:p>
      <w:pPr>
        <w:pStyle w:val="FirstParagraph"/>
      </w:pPr>
      <w:r>
        <w:t xml:space="preserve">Need reliable incremental pipelines.</w:t>
      </w:r>
    </w:p>
    <w:bookmarkEnd w:id="31"/>
    <w:bookmarkStart w:id="32" w:name="ai-engineers"/>
    <w:p>
      <w:pPr>
        <w:pStyle w:val="Heading2"/>
      </w:pPr>
      <w:r>
        <w:t xml:space="preserve">AI Engineers</w:t>
      </w:r>
    </w:p>
    <w:p>
      <w:pPr>
        <w:pStyle w:val="FirstParagraph"/>
      </w:pPr>
      <w:r>
        <w:t xml:space="preserve">Need RAG and agent orchestration.</w:t>
      </w:r>
    </w:p>
    <w:bookmarkEnd w:id="32"/>
    <w:bookmarkStart w:id="33" w:name="platform-security-teams"/>
    <w:p>
      <w:pPr>
        <w:pStyle w:val="Heading2"/>
      </w:pPr>
      <w:r>
        <w:t xml:space="preserve">Platform / Security Teams</w:t>
      </w:r>
    </w:p>
    <w:p>
      <w:pPr>
        <w:pStyle w:val="FirstParagraph"/>
      </w:pPr>
      <w:r>
        <w:t xml:space="preserve">Need centralized governance and auditing.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functional-requirements"/>
    <w:p>
      <w:pPr>
        <w:pStyle w:val="Heading1"/>
      </w:pPr>
      <w:r>
        <w:t xml:space="preserve">7. Functional Requirements</w:t>
      </w:r>
    </w:p>
    <w:bookmarkStart w:id="35" w:name="fr-001-document-ingestion"/>
    <w:p>
      <w:pPr>
        <w:pStyle w:val="Heading2"/>
      </w:pPr>
      <w:r>
        <w:t xml:space="preserve">FR-001 — Document Ingestion</w:t>
      </w:r>
    </w:p>
    <w:p>
      <w:pPr>
        <w:pStyle w:val="FirstParagraph"/>
      </w:pPr>
      <w:r>
        <w:t xml:space="preserve">The platform shall support ingestion of documents from approved enterprise sources.</w:t>
      </w:r>
    </w:p>
    <w:p>
      <w:pPr>
        <w:pStyle w:val="BodyText"/>
      </w:pPr>
      <w:r>
        <w:t xml:space="preserve">Supported formats may include:</w:t>
      </w:r>
    </w:p>
    <w:p>
      <w:pPr>
        <w:pStyle w:val="Compact"/>
        <w:numPr>
          <w:ilvl w:val="0"/>
          <w:numId w:val="1010"/>
        </w:numPr>
      </w:pPr>
      <w:r>
        <w:t xml:space="preserve">PDF</w:t>
      </w:r>
    </w:p>
    <w:p>
      <w:pPr>
        <w:pStyle w:val="Compact"/>
        <w:numPr>
          <w:ilvl w:val="0"/>
          <w:numId w:val="1010"/>
        </w:numPr>
      </w:pPr>
      <w:r>
        <w:t xml:space="preserve">DOCX</w:t>
      </w:r>
    </w:p>
    <w:p>
      <w:pPr>
        <w:pStyle w:val="Compact"/>
        <w:numPr>
          <w:ilvl w:val="0"/>
          <w:numId w:val="1010"/>
        </w:numPr>
      </w:pPr>
      <w:r>
        <w:t xml:space="preserve">TXT</w:t>
      </w:r>
    </w:p>
    <w:p>
      <w:pPr>
        <w:pStyle w:val="Compact"/>
        <w:numPr>
          <w:ilvl w:val="0"/>
          <w:numId w:val="1010"/>
        </w:numPr>
      </w:pPr>
      <w:r>
        <w:t xml:space="preserve">HTML</w:t>
      </w:r>
    </w:p>
    <w:p>
      <w:pPr>
        <w:pStyle w:val="Compact"/>
        <w:numPr>
          <w:ilvl w:val="0"/>
          <w:numId w:val="1010"/>
        </w:numPr>
      </w:pPr>
      <w:r>
        <w:t xml:space="preserve">CSV</w:t>
      </w:r>
    </w:p>
    <w:p>
      <w:pPr>
        <w:pStyle w:val="Compact"/>
        <w:numPr>
          <w:ilvl w:val="0"/>
          <w:numId w:val="1010"/>
        </w:numPr>
      </w:pPr>
      <w:r>
        <w:t xml:space="preserve">JSON</w:t>
      </w:r>
    </w:p>
    <w:p>
      <w:pPr>
        <w:pStyle w:val="Compact"/>
        <w:numPr>
          <w:ilvl w:val="0"/>
          <w:numId w:val="1010"/>
        </w:numPr>
      </w:pPr>
      <w:r>
        <w:t xml:space="preserve">Markdown</w:t>
      </w:r>
    </w:p>
    <w:p>
      <w:pPr>
        <w:pStyle w:val="Compact"/>
        <w:numPr>
          <w:ilvl w:val="0"/>
          <w:numId w:val="1010"/>
        </w:numPr>
      </w:pPr>
      <w:r>
        <w:t xml:space="preserve">Other approved formats</w:t>
      </w:r>
    </w:p>
    <w:p>
      <w:pPr>
        <w:pStyle w:val="FirstParagraph"/>
      </w:pPr>
      <w:r>
        <w:t xml:space="preserve">The ingestion system shall support incremental arrival of documents.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fr-002-multi-domain-documents"/>
    <w:p>
      <w:pPr>
        <w:pStyle w:val="Heading1"/>
      </w:pPr>
      <w:r>
        <w:t xml:space="preserve">FR-002 — Multi-Domain Documents</w:t>
      </w:r>
    </w:p>
    <w:p>
      <w:pPr>
        <w:pStyle w:val="FirstParagraph"/>
      </w:pPr>
      <w:r>
        <w:t xml:space="preserve">The system shall support multiple business domains.</w:t>
      </w:r>
    </w:p>
    <w:p>
      <w:pPr>
        <w:pStyle w:val="BodyText"/>
      </w:pPr>
      <w:r>
        <w:t xml:space="preserve">Example domains:</w:t>
      </w:r>
    </w:p>
    <w:p>
      <w:pPr>
        <w:pStyle w:val="SourceCode"/>
      </w:pPr>
      <w:r>
        <w:rPr>
          <w:rStyle w:val="VerbatimChar"/>
        </w:rPr>
        <w:t xml:space="preserve">fraud</w:t>
      </w:r>
      <w:r>
        <w:br/>
      </w: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operations</w:t>
      </w:r>
      <w:r>
        <w:br/>
      </w:r>
      <w:r>
        <w:rPr>
          <w:rStyle w:val="VerbatimChar"/>
        </w:rPr>
        <w:t xml:space="preserve">legal</w:t>
      </w:r>
      <w:r>
        <w:br/>
      </w:r>
      <w:r>
        <w:rPr>
          <w:rStyle w:val="VerbatimChar"/>
        </w:rPr>
        <w:t xml:space="preserve">customer_support</w:t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security</w:t>
      </w:r>
    </w:p>
    <w:p>
      <w:pPr>
        <w:pStyle w:val="FirstParagraph"/>
      </w:pPr>
      <w:r>
        <w:t xml:space="preserve">Every document shall contain domain metadata.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document_type</w:t>
      </w:r>
      <w:r>
        <w:br/>
      </w:r>
      <w:r>
        <w:rPr>
          <w:rStyle w:val="VerbatimChar"/>
        </w:rPr>
        <w:t xml:space="preserve">source_system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classification</w:t>
      </w:r>
      <w:r>
        <w:br/>
      </w:r>
      <w:r>
        <w:rPr>
          <w:rStyle w:val="VerbatimChar"/>
        </w:rPr>
        <w:t xml:space="preserve">effective_date</w:t>
      </w:r>
      <w:r>
        <w:br/>
      </w:r>
      <w:r>
        <w:rPr>
          <w:rStyle w:val="VerbatimChar"/>
        </w:rPr>
        <w:t xml:space="preserve">expiration_date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37"/>
    <w:bookmarkStart w:id="38" w:name="fr-003-document-versioning"/>
    <w:p>
      <w:pPr>
        <w:pStyle w:val="Heading1"/>
      </w:pPr>
      <w:r>
        <w:t xml:space="preserve">FR-003 — Document Versioning</w:t>
      </w:r>
    </w:p>
    <w:p>
      <w:pPr>
        <w:pStyle w:val="FirstParagraph"/>
      </w:pPr>
      <w:r>
        <w:t xml:space="preserve">The platform shall preserve document versions.</w:t>
      </w:r>
    </w:p>
    <w:p>
      <w:pPr>
        <w:pStyle w:val="BodyText"/>
      </w:pPr>
      <w:r>
        <w:t xml:space="preserve">A document update must not automatically overwrite historical information without maintaining version history.</w:t>
      </w:r>
    </w:p>
    <w:p>
      <w:r>
        <w:pict>
          <v:rect style="width:0;height:1.5pt" o:hralign="center" o:hrstd="t" o:hr="t"/>
        </w:pict>
      </w:r>
    </w:p>
    <w:bookmarkEnd w:id="38"/>
    <w:bookmarkStart w:id="39" w:name="fr-004-incremental-processing"/>
    <w:p>
      <w:pPr>
        <w:pStyle w:val="Heading1"/>
      </w:pPr>
      <w:r>
        <w:t xml:space="preserve">FR-004 — Incremental Processing</w:t>
      </w:r>
    </w:p>
    <w:p>
      <w:pPr>
        <w:pStyle w:val="FirstParagraph"/>
      </w:pPr>
      <w:r>
        <w:t xml:space="preserve">Only newly arrived or modified documents should proceed through downstream processing.</w:t>
      </w:r>
    </w:p>
    <w:p>
      <w:pPr>
        <w:pStyle w:val="BodyText"/>
      </w:pPr>
      <w:r>
        <w:t xml:space="preserve">The system should detect: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UPDATED</w:t>
      </w:r>
      <w:r>
        <w:br/>
      </w:r>
      <w:r>
        <w:rPr>
          <w:rStyle w:val="VerbatimChar"/>
        </w:rPr>
        <w:t xml:space="preserve">DELETED</w:t>
      </w:r>
      <w:r>
        <w:br/>
      </w:r>
      <w:r>
        <w:rPr>
          <w:rStyle w:val="VerbatimChar"/>
        </w:rPr>
        <w:t xml:space="preserve">UNCHANGED</w:t>
      </w:r>
    </w:p>
    <w:p>
      <w:r>
        <w:pict>
          <v:rect style="width:0;height:1.5pt" o:hralign="center" o:hrstd="t" o:hr="t"/>
        </w:pict>
      </w:r>
    </w:p>
    <w:bookmarkEnd w:id="39"/>
    <w:bookmarkStart w:id="40" w:name="fr-005-document-parsing"/>
    <w:p>
      <w:pPr>
        <w:pStyle w:val="Heading1"/>
      </w:pPr>
      <w:r>
        <w:t xml:space="preserve">FR-005 — Document Parsing</w:t>
      </w:r>
    </w:p>
    <w:p>
      <w:pPr>
        <w:pStyle w:val="FirstParagraph"/>
      </w:pPr>
      <w:r>
        <w:t xml:space="preserve">Documents must be transformed into machine-readable text while preserving useful metadata such as:</w:t>
      </w:r>
    </w:p>
    <w:p>
      <w:pPr>
        <w:pStyle w:val="Compact"/>
        <w:numPr>
          <w:ilvl w:val="0"/>
          <w:numId w:val="1011"/>
        </w:numPr>
      </w:pPr>
      <w:r>
        <w:t xml:space="preserve">Page number</w:t>
      </w:r>
    </w:p>
    <w:p>
      <w:pPr>
        <w:pStyle w:val="Compact"/>
        <w:numPr>
          <w:ilvl w:val="0"/>
          <w:numId w:val="1011"/>
        </w:numPr>
      </w:pPr>
      <w:r>
        <w:t xml:space="preserve">Section</w:t>
      </w:r>
    </w:p>
    <w:p>
      <w:pPr>
        <w:pStyle w:val="Compact"/>
        <w:numPr>
          <w:ilvl w:val="0"/>
          <w:numId w:val="1011"/>
        </w:numPr>
      </w:pPr>
      <w:r>
        <w:t xml:space="preserve">Heading</w:t>
      </w:r>
    </w:p>
    <w:p>
      <w:pPr>
        <w:pStyle w:val="Compact"/>
        <w:numPr>
          <w:ilvl w:val="0"/>
          <w:numId w:val="1011"/>
        </w:numPr>
      </w:pPr>
      <w:r>
        <w:t xml:space="preserve">Document ID</w:t>
      </w:r>
    </w:p>
    <w:p>
      <w:pPr>
        <w:pStyle w:val="Compact"/>
        <w:numPr>
          <w:ilvl w:val="0"/>
          <w:numId w:val="1011"/>
        </w:numPr>
      </w:pPr>
      <w:r>
        <w:t xml:space="preserve">Version</w:t>
      </w:r>
    </w:p>
    <w:p>
      <w:pPr>
        <w:pStyle w:val="Compact"/>
        <w:numPr>
          <w:ilvl w:val="0"/>
          <w:numId w:val="1011"/>
        </w:numPr>
      </w:pPr>
      <w:r>
        <w:t xml:space="preserve">Source</w:t>
      </w:r>
    </w:p>
    <w:p>
      <w:pPr>
        <w:pStyle w:val="Compact"/>
        <w:numPr>
          <w:ilvl w:val="0"/>
          <w:numId w:val="1011"/>
        </w:numPr>
      </w:pPr>
      <w:r>
        <w:t xml:space="preserve">Domain</w:t>
      </w:r>
    </w:p>
    <w:p>
      <w:pPr>
        <w:pStyle w:val="Compact"/>
        <w:numPr>
          <w:ilvl w:val="0"/>
          <w:numId w:val="1011"/>
        </w:numPr>
      </w:pPr>
      <w:r>
        <w:t xml:space="preserve">Classification</w:t>
      </w:r>
    </w:p>
    <w:p>
      <w:r>
        <w:pict>
          <v:rect style="width:0;height:1.5pt" o:hralign="center" o:hrstd="t" o:hr="t"/>
        </w:pict>
      </w:r>
    </w:p>
    <w:bookmarkEnd w:id="40"/>
    <w:bookmarkStart w:id="41" w:name="fr-006-chunking"/>
    <w:p>
      <w:pPr>
        <w:pStyle w:val="Heading1"/>
      </w:pPr>
      <w:r>
        <w:t xml:space="preserve">FR-006 — Chunking</w:t>
      </w:r>
    </w:p>
    <w:p>
      <w:pPr>
        <w:pStyle w:val="FirstParagraph"/>
      </w:pPr>
      <w:r>
        <w:t xml:space="preserve">Documents shall be converted into retrieval-friendly chunks.</w:t>
      </w:r>
    </w:p>
    <w:p>
      <w:pPr>
        <w:pStyle w:val="BodyText"/>
      </w:pPr>
      <w:r>
        <w:t xml:space="preserve">Chunking should preserve semantic boundaries where possible.</w:t>
      </w:r>
    </w:p>
    <w:p>
      <w:pPr>
        <w:pStyle w:val="BodyText"/>
      </w:pPr>
      <w:r>
        <w:t xml:space="preserve">The solution should avoid blindly splitting documents based only on character count.</w:t>
      </w:r>
    </w:p>
    <w:p>
      <w:r>
        <w:pict>
          <v:rect style="width:0;height:1.5pt" o:hralign="center" o:hrstd="t" o:hr="t"/>
        </w:pict>
      </w:r>
    </w:p>
    <w:bookmarkEnd w:id="41"/>
    <w:bookmarkStart w:id="42" w:name="fr-007-embeddings"/>
    <w:p>
      <w:pPr>
        <w:pStyle w:val="Heading1"/>
      </w:pPr>
      <w:r>
        <w:t xml:space="preserve">FR-007 — Embeddings</w:t>
      </w:r>
    </w:p>
    <w:p>
      <w:pPr>
        <w:pStyle w:val="FirstParagraph"/>
      </w:pPr>
      <w:r>
        <w:t xml:space="preserve">Each approved chunk shall be converted into an embedding representation.</w:t>
      </w:r>
    </w:p>
    <w:p>
      <w:pPr>
        <w:pStyle w:val="BodyText"/>
      </w:pPr>
      <w:r>
        <w:t xml:space="preserve">Embeddings must be associated with:</w:t>
      </w:r>
    </w:p>
    <w:p>
      <w:pPr>
        <w:pStyle w:val="SourceCode"/>
      </w:pP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chunk_id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document_version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classification</w:t>
      </w:r>
      <w:r>
        <w:br/>
      </w:r>
      <w:r>
        <w:rPr>
          <w:rStyle w:val="VerbatimChar"/>
        </w:rPr>
        <w:t xml:space="preserve">effective_date</w:t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embedding</w:t>
      </w:r>
    </w:p>
    <w:p>
      <w:r>
        <w:pict>
          <v:rect style="width:0;height:1.5pt" o:hralign="center" o:hrstd="t" o:hr="t"/>
        </w:pict>
      </w:r>
    </w:p>
    <w:bookmarkEnd w:id="42"/>
    <w:bookmarkStart w:id="43" w:name="fr-008-semantic-retrieval"/>
    <w:p>
      <w:pPr>
        <w:pStyle w:val="Heading1"/>
      </w:pPr>
      <w:r>
        <w:t xml:space="preserve">FR-008 — Semantic Retrieval</w:t>
      </w:r>
    </w:p>
    <w:p>
      <w:pPr>
        <w:pStyle w:val="FirstParagraph"/>
      </w:pPr>
      <w:r>
        <w:t xml:space="preserve">Users shall be able to search enterprise knowledge semantically.</w:t>
      </w:r>
    </w:p>
    <w:p>
      <w:pPr>
        <w:pStyle w:val="BodyText"/>
      </w:pPr>
      <w:r>
        <w:t xml:space="preserve">The retrieval layer must support metadata filtering.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domain = fraud</w:t>
      </w:r>
      <w:r>
        <w:br/>
      </w:r>
      <w:r>
        <w:rPr>
          <w:rStyle w:val="VerbatimChar"/>
        </w:rPr>
        <w:t xml:space="preserve">classification = internal</w:t>
      </w:r>
      <w:r>
        <w:br/>
      </w:r>
      <w:r>
        <w:rPr>
          <w:rStyle w:val="VerbatimChar"/>
        </w:rPr>
        <w:t xml:space="preserve">effective_date &lt;= current_date</w:t>
      </w:r>
    </w:p>
    <w:p>
      <w:r>
        <w:pict>
          <v:rect style="width:0;height:1.5pt" o:hralign="center" o:hrstd="t" o:hr="t"/>
        </w:pict>
      </w:r>
    </w:p>
    <w:bookmarkEnd w:id="43"/>
    <w:bookmarkStart w:id="44" w:name="fr-009-hybrid-retrieval"/>
    <w:p>
      <w:pPr>
        <w:pStyle w:val="Heading1"/>
      </w:pPr>
      <w:r>
        <w:t xml:space="preserve">FR-009 — Hybrid Retrieval</w:t>
      </w:r>
    </w:p>
    <w:p>
      <w:pPr>
        <w:pStyle w:val="FirstParagraph"/>
      </w:pPr>
      <w:r>
        <w:t xml:space="preserve">Where appropriate, the system should support both:</w:t>
      </w:r>
    </w:p>
    <w:p>
      <w:pPr>
        <w:pStyle w:val="Compact"/>
        <w:numPr>
          <w:ilvl w:val="0"/>
          <w:numId w:val="1012"/>
        </w:numPr>
      </w:pPr>
      <w:r>
        <w:t xml:space="preserve">Semantic/vector search</w:t>
      </w:r>
    </w:p>
    <w:p>
      <w:pPr>
        <w:pStyle w:val="Compact"/>
        <w:numPr>
          <w:ilvl w:val="0"/>
          <w:numId w:val="1012"/>
        </w:numPr>
      </w:pPr>
      <w:r>
        <w:t xml:space="preserve">Keyword/full-text search</w:t>
      </w:r>
    </w:p>
    <w:p>
      <w:pPr>
        <w:pStyle w:val="FirstParagraph"/>
      </w:pPr>
      <w:r>
        <w:t xml:space="preserve">This is particularly important for:</w:t>
      </w:r>
    </w:p>
    <w:p>
      <w:pPr>
        <w:pStyle w:val="Compact"/>
        <w:numPr>
          <w:ilvl w:val="0"/>
          <w:numId w:val="1013"/>
        </w:numPr>
      </w:pPr>
      <w:r>
        <w:t xml:space="preserve">Policy IDs</w:t>
      </w:r>
    </w:p>
    <w:p>
      <w:pPr>
        <w:pStyle w:val="Compact"/>
        <w:numPr>
          <w:ilvl w:val="0"/>
          <w:numId w:val="1013"/>
        </w:numPr>
      </w:pPr>
      <w:r>
        <w:t xml:space="preserve">Case IDs</w:t>
      </w:r>
    </w:p>
    <w:p>
      <w:pPr>
        <w:pStyle w:val="Compact"/>
        <w:numPr>
          <w:ilvl w:val="0"/>
          <w:numId w:val="1013"/>
        </w:numPr>
      </w:pPr>
      <w:r>
        <w:t xml:space="preserve">Regulation numbers</w:t>
      </w:r>
    </w:p>
    <w:p>
      <w:pPr>
        <w:pStyle w:val="Compact"/>
        <w:numPr>
          <w:ilvl w:val="0"/>
          <w:numId w:val="1013"/>
        </w:numPr>
      </w:pPr>
      <w:r>
        <w:t xml:space="preserve">Product codes</w:t>
      </w:r>
    </w:p>
    <w:p>
      <w:pPr>
        <w:pStyle w:val="Compact"/>
        <w:numPr>
          <w:ilvl w:val="0"/>
          <w:numId w:val="1013"/>
        </w:numPr>
      </w:pPr>
      <w:r>
        <w:t xml:space="preserve">Exact terminology</w:t>
      </w:r>
    </w:p>
    <w:p>
      <w:pPr>
        <w:pStyle w:val="FirstParagraph"/>
      </w:pPr>
      <w:r>
        <w:t xml:space="preserve">Databricks AI Search supports vector and full-text search capabilities on Delta-backed indexes.</w:t>
      </w:r>
    </w:p>
    <w:p>
      <w:r>
        <w:pict>
          <v:rect style="width:0;height:1.5pt" o:hralign="center" o:hrstd="t" o:hr="t"/>
        </w:pict>
      </w:r>
    </w:p>
    <w:bookmarkEnd w:id="44"/>
    <w:bookmarkStart w:id="45" w:name="fr-010-fraud-data-querying"/>
    <w:p>
      <w:pPr>
        <w:pStyle w:val="Heading1"/>
      </w:pPr>
      <w:r>
        <w:t xml:space="preserve">FR-010 — Fraud Data Querying</w:t>
      </w:r>
    </w:p>
    <w:p>
      <w:pPr>
        <w:pStyle w:val="FirstParagraph"/>
      </w:pPr>
      <w:r>
        <w:t xml:space="preserve">Users shall be able to ask natural-language questions about approved fraud datasets.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“Show fraud cases by region for the last 90 days.”</w:t>
      </w:r>
    </w:p>
    <w:p>
      <w:pPr>
        <w:pStyle w:val="FirstParagraph"/>
      </w:pPr>
      <w:r>
        <w:t xml:space="preserve">The system should translate the question into a governed data query rather than sending raw data indiscriminately to an LLM.</w:t>
      </w:r>
    </w:p>
    <w:p>
      <w:r>
        <w:pict>
          <v:rect style="width:0;height:1.5pt" o:hralign="center" o:hrstd="t" o:hr="t"/>
        </w:pict>
      </w:r>
    </w:p>
    <w:bookmarkEnd w:id="45"/>
    <w:bookmarkStart w:id="46" w:name="fr-011-fraud-visualization"/>
    <w:p>
      <w:pPr>
        <w:pStyle w:val="Heading1"/>
      </w:pPr>
      <w:r>
        <w:t xml:space="preserve">FR-011 — Fraud Visualization</w:t>
      </w:r>
    </w:p>
    <w:p>
      <w:pPr>
        <w:pStyle w:val="FirstParagraph"/>
      </w:pPr>
      <w:r>
        <w:t xml:space="preserve">The platform shall support visualization of fraud data including:</w:t>
      </w:r>
    </w:p>
    <w:p>
      <w:pPr>
        <w:pStyle w:val="Compact"/>
        <w:numPr>
          <w:ilvl w:val="0"/>
          <w:numId w:val="1014"/>
        </w:numPr>
      </w:pPr>
      <w:r>
        <w:t xml:space="preserve">Time-series trends</w:t>
      </w:r>
    </w:p>
    <w:p>
      <w:pPr>
        <w:pStyle w:val="Compact"/>
        <w:numPr>
          <w:ilvl w:val="0"/>
          <w:numId w:val="1014"/>
        </w:numPr>
      </w:pPr>
      <w:r>
        <w:t xml:space="preserve">Fraud volume</w:t>
      </w:r>
    </w:p>
    <w:p>
      <w:pPr>
        <w:pStyle w:val="Compact"/>
        <w:numPr>
          <w:ilvl w:val="0"/>
          <w:numId w:val="1014"/>
        </w:numPr>
      </w:pPr>
      <w:r>
        <w:t xml:space="preserve">Fraud rate</w:t>
      </w:r>
    </w:p>
    <w:p>
      <w:pPr>
        <w:pStyle w:val="Compact"/>
        <w:numPr>
          <w:ilvl w:val="0"/>
          <w:numId w:val="1014"/>
        </w:numPr>
      </w:pPr>
      <w:r>
        <w:t xml:space="preserve">Geographic distribution</w:t>
      </w:r>
    </w:p>
    <w:p>
      <w:pPr>
        <w:pStyle w:val="Compact"/>
        <w:numPr>
          <w:ilvl w:val="0"/>
          <w:numId w:val="1014"/>
        </w:numPr>
      </w:pPr>
      <w:r>
        <w:t xml:space="preserve">Fraud category distribution</w:t>
      </w:r>
    </w:p>
    <w:p>
      <w:pPr>
        <w:pStyle w:val="Compact"/>
        <w:numPr>
          <w:ilvl w:val="0"/>
          <w:numId w:val="1014"/>
        </w:numPr>
      </w:pPr>
      <w:r>
        <w:t xml:space="preserve">Risk scores</w:t>
      </w:r>
    </w:p>
    <w:p>
      <w:pPr>
        <w:pStyle w:val="Compact"/>
        <w:numPr>
          <w:ilvl w:val="0"/>
          <w:numId w:val="1014"/>
        </w:numPr>
      </w:pPr>
      <w:r>
        <w:t xml:space="preserve">Top fraud indicators</w:t>
      </w:r>
    </w:p>
    <w:p>
      <w:pPr>
        <w:pStyle w:val="Compact"/>
        <w:numPr>
          <w:ilvl w:val="0"/>
          <w:numId w:val="1014"/>
        </w:numPr>
      </w:pPr>
      <w:r>
        <w:t xml:space="preserve">Comparative analysis</w:t>
      </w:r>
    </w:p>
    <w:p>
      <w:r>
        <w:pict>
          <v:rect style="width:0;height:1.5pt" o:hralign="center" o:hrstd="t" o:hr="t"/>
        </w:pict>
      </w:r>
    </w:p>
    <w:bookmarkEnd w:id="46"/>
    <w:bookmarkStart w:id="47" w:name="fr-012-rag"/>
    <w:p>
      <w:pPr>
        <w:pStyle w:val="Heading1"/>
      </w:pPr>
      <w:r>
        <w:t xml:space="preserve">FR-012 — RAG</w:t>
      </w:r>
    </w:p>
    <w:p>
      <w:pPr>
        <w:pStyle w:val="FirstParagraph"/>
      </w:pPr>
      <w:r>
        <w:t xml:space="preserve">The system shall provide retrieval-augmented responses grounded in enterprise documents.</w:t>
      </w:r>
    </w:p>
    <w:p>
      <w:pPr>
        <w:pStyle w:val="BodyText"/>
      </w:pPr>
      <w:r>
        <w:t xml:space="preserve">Responses should provide:</w:t>
      </w:r>
    </w:p>
    <w:p>
      <w:pPr>
        <w:pStyle w:val="Compact"/>
        <w:numPr>
          <w:ilvl w:val="0"/>
          <w:numId w:val="1015"/>
        </w:numPr>
      </w:pPr>
      <w:r>
        <w:t xml:space="preserve">Answer</w:t>
      </w:r>
    </w:p>
    <w:p>
      <w:pPr>
        <w:pStyle w:val="Compact"/>
        <w:numPr>
          <w:ilvl w:val="0"/>
          <w:numId w:val="1015"/>
        </w:numPr>
      </w:pPr>
      <w:r>
        <w:t xml:space="preserve">Supporting sources</w:t>
      </w:r>
    </w:p>
    <w:p>
      <w:pPr>
        <w:pStyle w:val="Compact"/>
        <w:numPr>
          <w:ilvl w:val="0"/>
          <w:numId w:val="1015"/>
        </w:numPr>
      </w:pPr>
      <w:r>
        <w:t xml:space="preserve">Document references</w:t>
      </w:r>
    </w:p>
    <w:p>
      <w:pPr>
        <w:pStyle w:val="Compact"/>
        <w:numPr>
          <w:ilvl w:val="0"/>
          <w:numId w:val="1015"/>
        </w:numPr>
      </w:pPr>
      <w:r>
        <w:t xml:space="preserve">Relevant sections/pages where available</w:t>
      </w:r>
    </w:p>
    <w:p>
      <w:pPr>
        <w:pStyle w:val="Compact"/>
        <w:numPr>
          <w:ilvl w:val="0"/>
          <w:numId w:val="1015"/>
        </w:numPr>
      </w:pPr>
      <w:r>
        <w:t xml:space="preserve">Confidence/evidence indicators where appropriate</w:t>
      </w:r>
    </w:p>
    <w:p>
      <w:r>
        <w:pict>
          <v:rect style="width:0;height:1.5pt" o:hralign="center" o:hrstd="t" o:hr="t"/>
        </w:pict>
      </w:r>
    </w:p>
    <w:bookmarkEnd w:id="47"/>
    <w:bookmarkStart w:id="50" w:name="fr-013-structured-unstructured-reasoning"/>
    <w:p>
      <w:pPr>
        <w:pStyle w:val="Heading1"/>
      </w:pPr>
      <w:r>
        <w:t xml:space="preserve">FR-013 — Structured + Unstructured Reasoning</w:t>
      </w:r>
    </w:p>
    <w:p>
      <w:pPr>
        <w:pStyle w:val="FirstParagraph"/>
      </w:pPr>
      <w:r>
        <w:t xml:space="preserve">The system shall support questions requiring both:</w:t>
      </w:r>
    </w:p>
    <w:bookmarkStart w:id="48" w:name="structured-data"/>
    <w:p>
      <w:pPr>
        <w:pStyle w:val="Heading3"/>
      </w:pPr>
      <w:r>
        <w:t xml:space="preserve">Structured data</w:t>
      </w:r>
    </w:p>
    <w:p>
      <w:pPr>
        <w:pStyle w:val="FirstParagraph"/>
      </w:pPr>
      <w:r>
        <w:t xml:space="preserve">Fraud Gold tables</w:t>
      </w:r>
    </w:p>
    <w:p>
      <w:pPr>
        <w:pStyle w:val="BodyText"/>
      </w:pPr>
      <w:r>
        <w:t xml:space="preserve">and</w:t>
      </w:r>
    </w:p>
    <w:bookmarkEnd w:id="48"/>
    <w:bookmarkStart w:id="49" w:name="unstructured-knowledge"/>
    <w:p>
      <w:pPr>
        <w:pStyle w:val="Heading3"/>
      </w:pPr>
      <w:r>
        <w:t xml:space="preserve">Unstructured knowledge</w:t>
      </w:r>
    </w:p>
    <w:p>
      <w:pPr>
        <w:pStyle w:val="FirstParagraph"/>
      </w:pPr>
      <w:r>
        <w:t xml:space="preserve">Fraud policies and enterprise documents.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“Fraud increased by 18% in California. Which current fraud policy applies to the dominant fraud pattern?”</w:t>
      </w:r>
    </w:p>
    <w:p>
      <w:pPr>
        <w:pStyle w:val="FirstParagraph"/>
      </w:pPr>
      <w:r>
        <w:t xml:space="preserve">The system should:</w:t>
      </w:r>
    </w:p>
    <w:p>
      <w:pPr>
        <w:pStyle w:val="Compact"/>
        <w:numPr>
          <w:ilvl w:val="0"/>
          <w:numId w:val="1016"/>
        </w:numPr>
      </w:pPr>
      <w:r>
        <w:t xml:space="preserve">Query structured fraud data.</w:t>
      </w:r>
    </w:p>
    <w:p>
      <w:pPr>
        <w:pStyle w:val="Compact"/>
        <w:numPr>
          <w:ilvl w:val="0"/>
          <w:numId w:val="1016"/>
        </w:numPr>
      </w:pPr>
      <w:r>
        <w:t xml:space="preserve">Identify the relevant fraud pattern.</w:t>
      </w:r>
    </w:p>
    <w:p>
      <w:pPr>
        <w:pStyle w:val="Compact"/>
        <w:numPr>
          <w:ilvl w:val="0"/>
          <w:numId w:val="1016"/>
        </w:numPr>
      </w:pPr>
      <w:r>
        <w:t xml:space="preserve">Retrieve applicable policy documents.</w:t>
      </w:r>
    </w:p>
    <w:p>
      <w:pPr>
        <w:pStyle w:val="Compact"/>
        <w:numPr>
          <w:ilvl w:val="0"/>
          <w:numId w:val="1016"/>
        </w:numPr>
      </w:pPr>
      <w:r>
        <w:t xml:space="preserve">Generate a grounded response.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fr-014-agentic-workflows"/>
    <w:p>
      <w:pPr>
        <w:pStyle w:val="Heading1"/>
      </w:pPr>
      <w:r>
        <w:t xml:space="preserve">FR-014 — Agentic Workflows</w:t>
      </w:r>
    </w:p>
    <w:p>
      <w:pPr>
        <w:pStyle w:val="FirstParagraph"/>
      </w:pPr>
      <w:r>
        <w:t xml:space="preserve">The solution should support controlled agentic workflows.</w:t>
      </w:r>
    </w:p>
    <w:p>
      <w:pPr>
        <w:pStyle w:val="BodyText"/>
      </w:pPr>
      <w:r>
        <w:t xml:space="preserve">Potential tools:</w:t>
      </w:r>
    </w:p>
    <w:p>
      <w:pPr>
        <w:pStyle w:val="SourceCode"/>
      </w:pPr>
      <w:r>
        <w:rPr>
          <w:rStyle w:val="VerbatimChar"/>
        </w:rPr>
        <w:t xml:space="preserve">Fraud SQL Tool</w:t>
      </w:r>
      <w:r>
        <w:br/>
      </w:r>
      <w:r>
        <w:rPr>
          <w:rStyle w:val="VerbatimChar"/>
        </w:rPr>
        <w:t xml:space="preserve">Document Search Tool</w:t>
      </w:r>
      <w:r>
        <w:br/>
      </w:r>
      <w:r>
        <w:rPr>
          <w:rStyle w:val="VerbatimChar"/>
        </w:rPr>
        <w:t xml:space="preserve">Policy Search Tool</w:t>
      </w:r>
      <w:r>
        <w:br/>
      </w:r>
      <w:r>
        <w:rPr>
          <w:rStyle w:val="VerbatimChar"/>
        </w:rPr>
        <w:t xml:space="preserve">Metrics Tool</w:t>
      </w:r>
      <w:r>
        <w:br/>
      </w:r>
      <w:r>
        <w:rPr>
          <w:rStyle w:val="VerbatimChar"/>
        </w:rPr>
        <w:t xml:space="preserve">Visualization Tool</w:t>
      </w:r>
      <w:r>
        <w:br/>
      </w:r>
      <w:r>
        <w:rPr>
          <w:rStyle w:val="VerbatimChar"/>
        </w:rPr>
        <w:t xml:space="preserve">Metadata Tool</w:t>
      </w:r>
    </w:p>
    <w:p>
      <w:pPr>
        <w:pStyle w:val="FirstParagraph"/>
      </w:pPr>
      <w:r>
        <w:t xml:space="preserve">The agent must not have unrestricted access to the enterprise environment.</w:t>
      </w:r>
    </w:p>
    <w:p>
      <w:r>
        <w:pict>
          <v:rect style="width:0;height:1.5pt" o:hralign="center" o:hrstd="t" o:hr="t"/>
        </w:pict>
      </w:r>
    </w:p>
    <w:bookmarkEnd w:id="51"/>
    <w:bookmarkStart w:id="52" w:name="fr-015-guardrails"/>
    <w:p>
      <w:pPr>
        <w:pStyle w:val="Heading1"/>
      </w:pPr>
      <w:r>
        <w:t xml:space="preserve">FR-015 — Guardrails</w:t>
      </w:r>
    </w:p>
    <w:p>
      <w:pPr>
        <w:pStyle w:val="FirstParagraph"/>
      </w:pPr>
      <w:r>
        <w:t xml:space="preserve">The solution shall implement controls for:</w:t>
      </w:r>
    </w:p>
    <w:p>
      <w:pPr>
        <w:pStyle w:val="Compact"/>
        <w:numPr>
          <w:ilvl w:val="0"/>
          <w:numId w:val="1017"/>
        </w:numPr>
      </w:pPr>
      <w:r>
        <w:t xml:space="preserve">PII</w:t>
      </w:r>
    </w:p>
    <w:p>
      <w:pPr>
        <w:pStyle w:val="Compact"/>
        <w:numPr>
          <w:ilvl w:val="0"/>
          <w:numId w:val="1017"/>
        </w:numPr>
      </w:pPr>
      <w:r>
        <w:t xml:space="preserve">Prompt injection</w:t>
      </w:r>
    </w:p>
    <w:p>
      <w:pPr>
        <w:pStyle w:val="Compact"/>
        <w:numPr>
          <w:ilvl w:val="0"/>
          <w:numId w:val="1017"/>
        </w:numPr>
      </w:pPr>
      <w:r>
        <w:t xml:space="preserve">Unauthorized data access</w:t>
      </w:r>
    </w:p>
    <w:p>
      <w:pPr>
        <w:pStyle w:val="Compact"/>
        <w:numPr>
          <w:ilvl w:val="0"/>
          <w:numId w:val="1017"/>
        </w:numPr>
      </w:pPr>
      <w:r>
        <w:t xml:space="preserve">Unsafe requests</w:t>
      </w:r>
    </w:p>
    <w:p>
      <w:pPr>
        <w:pStyle w:val="Compact"/>
        <w:numPr>
          <w:ilvl w:val="0"/>
          <w:numId w:val="1017"/>
        </w:numPr>
      </w:pPr>
      <w:r>
        <w:t xml:space="preserve">Hallucination</w:t>
      </w:r>
    </w:p>
    <w:p>
      <w:pPr>
        <w:pStyle w:val="Compact"/>
        <w:numPr>
          <w:ilvl w:val="0"/>
          <w:numId w:val="1017"/>
        </w:numPr>
      </w:pPr>
      <w:r>
        <w:t xml:space="preserve">Out-of-domain questions</w:t>
      </w:r>
    </w:p>
    <w:p>
      <w:pPr>
        <w:pStyle w:val="Compact"/>
        <w:numPr>
          <w:ilvl w:val="0"/>
          <w:numId w:val="1017"/>
        </w:numPr>
      </w:pPr>
      <w:r>
        <w:t xml:space="preserve">Sensitive data exposure</w:t>
      </w:r>
    </w:p>
    <w:p>
      <w:pPr>
        <w:pStyle w:val="Compact"/>
        <w:numPr>
          <w:ilvl w:val="0"/>
          <w:numId w:val="1017"/>
        </w:numPr>
      </w:pPr>
      <w:r>
        <w:t xml:space="preserve">Excessive query execution</w:t>
      </w:r>
    </w:p>
    <w:p>
      <w:pPr>
        <w:pStyle w:val="Compact"/>
        <w:numPr>
          <w:ilvl w:val="0"/>
          <w:numId w:val="1017"/>
        </w:numPr>
      </w:pPr>
      <w:r>
        <w:t xml:space="preserve">Unauthorized tool invocation</w:t>
      </w:r>
    </w:p>
    <w:p>
      <w:pPr>
        <w:pStyle w:val="FirstParagraph"/>
      </w:pPr>
      <w:r>
        <w:t xml:space="preserve">Databricks’ current Unity Gateway architecture supports governed model services, centralized access control, service policies/guardrails, rate limits and auditing.</w:t>
      </w:r>
    </w:p>
    <w:p>
      <w:r>
        <w:pict>
          <v:rect style="width:0;height:1.5pt" o:hralign="center" o:hrstd="t" o:hr="t"/>
        </w:pict>
      </w:r>
    </w:p>
    <w:bookmarkEnd w:id="52"/>
    <w:bookmarkStart w:id="56" w:name="fr-016-evaluation"/>
    <w:p>
      <w:pPr>
        <w:pStyle w:val="Heading1"/>
      </w:pPr>
      <w:r>
        <w:t xml:space="preserve">FR-016 — Evaluation</w:t>
      </w:r>
    </w:p>
    <w:p>
      <w:pPr>
        <w:pStyle w:val="FirstParagraph"/>
      </w:pPr>
      <w:r>
        <w:t xml:space="preserve">The solution shall continuously evaluate:</w:t>
      </w:r>
    </w:p>
    <w:bookmarkStart w:id="53" w:name="retrieval-quality"/>
    <w:p>
      <w:pPr>
        <w:pStyle w:val="Heading3"/>
      </w:pPr>
      <w:r>
        <w:t xml:space="preserve">Retrieval quality</w:t>
      </w:r>
    </w:p>
    <w:p>
      <w:pPr>
        <w:pStyle w:val="Compact"/>
        <w:numPr>
          <w:ilvl w:val="0"/>
          <w:numId w:val="1018"/>
        </w:numPr>
      </w:pPr>
      <w:r>
        <w:t xml:space="preserve">Recall</w:t>
      </w:r>
    </w:p>
    <w:p>
      <w:pPr>
        <w:pStyle w:val="Compact"/>
        <w:numPr>
          <w:ilvl w:val="0"/>
          <w:numId w:val="1018"/>
        </w:numPr>
      </w:pPr>
      <w:r>
        <w:t xml:space="preserve">Precision</w:t>
      </w:r>
    </w:p>
    <w:p>
      <w:pPr>
        <w:pStyle w:val="Compact"/>
        <w:numPr>
          <w:ilvl w:val="0"/>
          <w:numId w:val="1018"/>
        </w:numPr>
      </w:pPr>
      <w:r>
        <w:t xml:space="preserve">Context relevance</w:t>
      </w:r>
    </w:p>
    <w:p>
      <w:pPr>
        <w:pStyle w:val="Compact"/>
        <w:numPr>
          <w:ilvl w:val="0"/>
          <w:numId w:val="1018"/>
        </w:numPr>
      </w:pPr>
      <w:r>
        <w:t xml:space="preserve">Context recall</w:t>
      </w:r>
    </w:p>
    <w:bookmarkEnd w:id="53"/>
    <w:bookmarkStart w:id="54" w:name="generation-quality"/>
    <w:p>
      <w:pPr>
        <w:pStyle w:val="Heading3"/>
      </w:pPr>
      <w:r>
        <w:t xml:space="preserve">Generation quality</w:t>
      </w:r>
    </w:p>
    <w:p>
      <w:pPr>
        <w:pStyle w:val="Compact"/>
        <w:numPr>
          <w:ilvl w:val="0"/>
          <w:numId w:val="1019"/>
        </w:numPr>
      </w:pPr>
      <w:r>
        <w:t xml:space="preserve">Faithfulness</w:t>
      </w:r>
    </w:p>
    <w:p>
      <w:pPr>
        <w:pStyle w:val="Compact"/>
        <w:numPr>
          <w:ilvl w:val="0"/>
          <w:numId w:val="1019"/>
        </w:numPr>
      </w:pPr>
      <w:r>
        <w:t xml:space="preserve">Answer relevance</w:t>
      </w:r>
    </w:p>
    <w:p>
      <w:pPr>
        <w:pStyle w:val="Compact"/>
        <w:numPr>
          <w:ilvl w:val="0"/>
          <w:numId w:val="1019"/>
        </w:numPr>
      </w:pPr>
      <w:r>
        <w:t xml:space="preserve">Groundedness</w:t>
      </w:r>
    </w:p>
    <w:p>
      <w:pPr>
        <w:pStyle w:val="Compact"/>
        <w:numPr>
          <w:ilvl w:val="0"/>
          <w:numId w:val="1019"/>
        </w:numPr>
      </w:pPr>
      <w:r>
        <w:t xml:space="preserve">Citation correctness</w:t>
      </w:r>
    </w:p>
    <w:bookmarkEnd w:id="54"/>
    <w:bookmarkStart w:id="55" w:name="agent-quality"/>
    <w:p>
      <w:pPr>
        <w:pStyle w:val="Heading3"/>
      </w:pPr>
      <w:r>
        <w:t xml:space="preserve">Agent quality</w:t>
      </w:r>
    </w:p>
    <w:p>
      <w:pPr>
        <w:pStyle w:val="Compact"/>
        <w:numPr>
          <w:ilvl w:val="0"/>
          <w:numId w:val="1020"/>
        </w:numPr>
      </w:pPr>
      <w:r>
        <w:t xml:space="preserve">Tool selection</w:t>
      </w:r>
    </w:p>
    <w:p>
      <w:pPr>
        <w:pStyle w:val="Compact"/>
        <w:numPr>
          <w:ilvl w:val="0"/>
          <w:numId w:val="1020"/>
        </w:numPr>
      </w:pPr>
      <w:r>
        <w:t xml:space="preserve">Tool-call correctness</w:t>
      </w:r>
    </w:p>
    <w:p>
      <w:pPr>
        <w:pStyle w:val="Compact"/>
        <w:numPr>
          <w:ilvl w:val="0"/>
          <w:numId w:val="1020"/>
        </w:numPr>
      </w:pPr>
      <w:r>
        <w:t xml:space="preserve">SQL correctness</w:t>
      </w:r>
    </w:p>
    <w:p>
      <w:pPr>
        <w:pStyle w:val="Compact"/>
        <w:numPr>
          <w:ilvl w:val="0"/>
          <w:numId w:val="1020"/>
        </w:numPr>
      </w:pPr>
      <w:r>
        <w:t xml:space="preserve">Task completion</w:t>
      </w:r>
    </w:p>
    <w:p>
      <w:pPr>
        <w:pStyle w:val="Compact"/>
        <w:numPr>
          <w:ilvl w:val="0"/>
          <w:numId w:val="1020"/>
        </w:numPr>
      </w:pPr>
      <w:r>
        <w:t xml:space="preserve">Safety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fr-017-observability"/>
    <w:p>
      <w:pPr>
        <w:pStyle w:val="Heading1"/>
      </w:pPr>
      <w:r>
        <w:t xml:space="preserve">FR-017 — Observability</w:t>
      </w:r>
    </w:p>
    <w:p>
      <w:pPr>
        <w:pStyle w:val="FirstParagraph"/>
      </w:pPr>
      <w:r>
        <w:t xml:space="preserve">The system shall provide monitoring for:</w:t>
      </w:r>
    </w:p>
    <w:p>
      <w:pPr>
        <w:pStyle w:val="Compact"/>
        <w:numPr>
          <w:ilvl w:val="0"/>
          <w:numId w:val="1021"/>
        </w:numPr>
      </w:pPr>
      <w:r>
        <w:t xml:space="preserve">Pipeline failures</w:t>
      </w:r>
    </w:p>
    <w:p>
      <w:pPr>
        <w:pStyle w:val="Compact"/>
        <w:numPr>
          <w:ilvl w:val="0"/>
          <w:numId w:val="1021"/>
        </w:numPr>
      </w:pPr>
      <w:r>
        <w:t xml:space="preserve">Document-processing failures</w:t>
      </w:r>
    </w:p>
    <w:p>
      <w:pPr>
        <w:pStyle w:val="Compact"/>
        <w:numPr>
          <w:ilvl w:val="0"/>
          <w:numId w:val="1021"/>
        </w:numPr>
      </w:pPr>
      <w:r>
        <w:t xml:space="preserve">Index synchronization</w:t>
      </w:r>
    </w:p>
    <w:p>
      <w:pPr>
        <w:pStyle w:val="Compact"/>
        <w:numPr>
          <w:ilvl w:val="0"/>
          <w:numId w:val="1021"/>
        </w:numPr>
      </w:pPr>
      <w:r>
        <w:t xml:space="preserve">Retrieval latency</w:t>
      </w:r>
    </w:p>
    <w:p>
      <w:pPr>
        <w:pStyle w:val="Compact"/>
        <w:numPr>
          <w:ilvl w:val="0"/>
          <w:numId w:val="1021"/>
        </w:numPr>
      </w:pPr>
      <w:r>
        <w:t xml:space="preserve">LLM latency</w:t>
      </w:r>
    </w:p>
    <w:p>
      <w:pPr>
        <w:pStyle w:val="Compact"/>
        <w:numPr>
          <w:ilvl w:val="0"/>
          <w:numId w:val="1021"/>
        </w:numPr>
      </w:pPr>
      <w:r>
        <w:t xml:space="preserve">Token usage</w:t>
      </w:r>
    </w:p>
    <w:p>
      <w:pPr>
        <w:pStyle w:val="Compact"/>
        <w:numPr>
          <w:ilvl w:val="0"/>
          <w:numId w:val="1021"/>
        </w:numPr>
      </w:pPr>
      <w:r>
        <w:t xml:space="preserve">Query latency</w:t>
      </w:r>
    </w:p>
    <w:p>
      <w:pPr>
        <w:pStyle w:val="Compact"/>
        <w:numPr>
          <w:ilvl w:val="0"/>
          <w:numId w:val="1021"/>
        </w:numPr>
      </w:pPr>
      <w:r>
        <w:t xml:space="preserve">Agent execution</w:t>
      </w:r>
    </w:p>
    <w:p>
      <w:pPr>
        <w:pStyle w:val="Compact"/>
        <w:numPr>
          <w:ilvl w:val="0"/>
          <w:numId w:val="1021"/>
        </w:numPr>
      </w:pPr>
      <w:r>
        <w:t xml:space="preserve">Guardrail violations</w:t>
      </w:r>
    </w:p>
    <w:p>
      <w:pPr>
        <w:pStyle w:val="Compact"/>
        <w:numPr>
          <w:ilvl w:val="0"/>
          <w:numId w:val="1021"/>
        </w:numPr>
      </w:pPr>
      <w:r>
        <w:t xml:space="preserve">Evaluation scores</w:t>
      </w:r>
    </w:p>
    <w:p>
      <w:pPr>
        <w:pStyle w:val="Compact"/>
        <w:numPr>
          <w:ilvl w:val="0"/>
          <w:numId w:val="1021"/>
        </w:numPr>
      </w:pPr>
      <w:r>
        <w:t xml:space="preserve">Cost</w:t>
      </w:r>
    </w:p>
    <w:p>
      <w:r>
        <w:pict>
          <v:rect style="width:0;height:1.5pt" o:hralign="center" o:hrstd="t" o:hr="t"/>
        </w:pict>
      </w:r>
    </w:p>
    <w:bookmarkEnd w:id="57"/>
    <w:bookmarkStart w:id="66" w:name="non-functional-requirements"/>
    <w:p>
      <w:pPr>
        <w:pStyle w:val="Heading1"/>
      </w:pPr>
      <w:r>
        <w:t xml:space="preserve">8. Non-Functional Requirements</w:t>
      </w:r>
    </w:p>
    <w:bookmarkStart w:id="58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The platform must enforce enterprise identity and authorization.</w:t>
      </w:r>
    </w:p>
    <w:bookmarkEnd w:id="58"/>
    <w:bookmarkStart w:id="59" w:name="privacy"/>
    <w:p>
      <w:pPr>
        <w:pStyle w:val="Heading2"/>
      </w:pPr>
      <w:r>
        <w:t xml:space="preserve">Privacy</w:t>
      </w:r>
    </w:p>
    <w:p>
      <w:pPr>
        <w:pStyle w:val="FirstParagraph"/>
      </w:pPr>
      <w:r>
        <w:t xml:space="preserve">Sensitive data should remain within governed enterprise boundaries wherever possible.</w:t>
      </w:r>
    </w:p>
    <w:bookmarkEnd w:id="59"/>
    <w:bookmarkStart w:id="60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Production services should be designed for high availability.</w:t>
      </w:r>
    </w:p>
    <w:bookmarkEnd w:id="60"/>
    <w:bookmarkStart w:id="61" w:name="scalability"/>
    <w:p>
      <w:pPr>
        <w:pStyle w:val="Heading2"/>
      </w:pPr>
      <w:r>
        <w:t xml:space="preserve">Scalability</w:t>
      </w:r>
    </w:p>
    <w:p>
      <w:pPr>
        <w:pStyle w:val="FirstParagraph"/>
      </w:pPr>
      <w:r>
        <w:t xml:space="preserve">The architecture must support thousands of documents and future growth.</w:t>
      </w:r>
    </w:p>
    <w:bookmarkEnd w:id="61"/>
    <w:bookmarkStart w:id="62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The retrieval system should provide low-latency responses suitable for interactive workloads.</w:t>
      </w:r>
    </w:p>
    <w:bookmarkEnd w:id="62"/>
    <w:bookmarkStart w:id="63" w:name="maintainability"/>
    <w:p>
      <w:pPr>
        <w:pStyle w:val="Heading2"/>
      </w:pPr>
      <w:r>
        <w:t xml:space="preserve">Maintainability</w:t>
      </w:r>
    </w:p>
    <w:p>
      <w:pPr>
        <w:pStyle w:val="FirstParagraph"/>
      </w:pPr>
      <w:r>
        <w:t xml:space="preserve">All pipelines and application components must be modular.</w:t>
      </w:r>
    </w:p>
    <w:bookmarkEnd w:id="63"/>
    <w:bookmarkStart w:id="64" w:name="auditability"/>
    <w:p>
      <w:pPr>
        <w:pStyle w:val="Heading2"/>
      </w:pPr>
      <w:r>
        <w:t xml:space="preserve">Auditability</w:t>
      </w:r>
    </w:p>
    <w:p>
      <w:pPr>
        <w:pStyle w:val="FirstParagraph"/>
      </w:pPr>
      <w:r>
        <w:t xml:space="preserve">Important operations must be traceable.</w:t>
      </w:r>
    </w:p>
    <w:bookmarkEnd w:id="64"/>
    <w:bookmarkStart w:id="65" w:name="backward-compatibility"/>
    <w:p>
      <w:pPr>
        <w:pStyle w:val="Heading2"/>
      </w:pPr>
      <w:r>
        <w:t xml:space="preserve">Backward Compatibility</w:t>
      </w:r>
    </w:p>
    <w:p>
      <w:pPr>
        <w:pStyle w:val="FirstParagraph"/>
      </w:pPr>
      <w:r>
        <w:t xml:space="preserve">Existing fraud-processing functionality must remain unaffected.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success-criteria"/>
    <w:p>
      <w:pPr>
        <w:pStyle w:val="Heading1"/>
      </w:pPr>
      <w:r>
        <w:t xml:space="preserve">9. Success Criteria</w:t>
      </w:r>
    </w:p>
    <w:p>
      <w:pPr>
        <w:pStyle w:val="FirstParagraph"/>
      </w:pPr>
      <w:r>
        <w:t xml:space="preserve">The project will be considered successful when:</w:t>
      </w:r>
    </w:p>
    <w:p>
      <w:pPr>
        <w:pStyle w:val="Compact"/>
        <w:numPr>
          <w:ilvl w:val="0"/>
          <w:numId w:val="1022"/>
        </w:numPr>
      </w:pPr>
      <w:r>
        <w:t xml:space="preserve">New documents can be automatically detected.</w:t>
      </w:r>
    </w:p>
    <w:p>
      <w:pPr>
        <w:pStyle w:val="Compact"/>
        <w:numPr>
          <w:ilvl w:val="0"/>
          <w:numId w:val="1022"/>
        </w:numPr>
      </w:pPr>
      <w:r>
        <w:t xml:space="preserve">Only changed documents are processed.</w:t>
      </w:r>
    </w:p>
    <w:p>
      <w:pPr>
        <w:pStyle w:val="Compact"/>
        <w:numPr>
          <w:ilvl w:val="0"/>
          <w:numId w:val="1022"/>
        </w:numPr>
      </w:pPr>
      <w:r>
        <w:t xml:space="preserve">Document chunks are stored in governed Delta tables.</w:t>
      </w:r>
    </w:p>
    <w:p>
      <w:pPr>
        <w:pStyle w:val="Compact"/>
        <w:numPr>
          <w:ilvl w:val="0"/>
          <w:numId w:val="1022"/>
        </w:numPr>
      </w:pPr>
      <w:r>
        <w:t xml:space="preserve">Embeddings are stored/governed appropriately.</w:t>
      </w:r>
    </w:p>
    <w:p>
      <w:pPr>
        <w:pStyle w:val="Compact"/>
        <w:numPr>
          <w:ilvl w:val="0"/>
          <w:numId w:val="1022"/>
        </w:numPr>
      </w:pPr>
      <w:r>
        <w:t xml:space="preserve">AI Search indexes update incrementally.</w:t>
      </w:r>
    </w:p>
    <w:p>
      <w:pPr>
        <w:pStyle w:val="Compact"/>
        <w:numPr>
          <w:ilvl w:val="0"/>
          <w:numId w:val="1022"/>
        </w:numPr>
      </w:pPr>
      <w:r>
        <w:t xml:space="preserve">Users can search multiple domains.</w:t>
      </w:r>
    </w:p>
    <w:p>
      <w:pPr>
        <w:pStyle w:val="Compact"/>
        <w:numPr>
          <w:ilvl w:val="0"/>
          <w:numId w:val="1022"/>
        </w:numPr>
      </w:pPr>
      <w:r>
        <w:t xml:space="preserve">Users can query approved fraud Gold data.</w:t>
      </w:r>
    </w:p>
    <w:p>
      <w:pPr>
        <w:pStyle w:val="Compact"/>
        <w:numPr>
          <w:ilvl w:val="0"/>
          <w:numId w:val="1022"/>
        </w:numPr>
      </w:pPr>
      <w:r>
        <w:t xml:space="preserve">Users can visualize fraud results.</w:t>
      </w:r>
    </w:p>
    <w:p>
      <w:pPr>
        <w:pStyle w:val="Compact"/>
        <w:numPr>
          <w:ilvl w:val="0"/>
          <w:numId w:val="1022"/>
        </w:numPr>
      </w:pPr>
      <w:r>
        <w:t xml:space="preserve">RAG responses contain supporting evidence.</w:t>
      </w:r>
    </w:p>
    <w:p>
      <w:pPr>
        <w:pStyle w:val="Compact"/>
        <w:numPr>
          <w:ilvl w:val="0"/>
          <w:numId w:val="1022"/>
        </w:numPr>
      </w:pPr>
      <w:r>
        <w:t xml:space="preserve">Unauthorized data cannot be retrieved.</w:t>
      </w:r>
    </w:p>
    <w:p>
      <w:pPr>
        <w:pStyle w:val="Compact"/>
        <w:numPr>
          <w:ilvl w:val="0"/>
          <w:numId w:val="1022"/>
        </w:numPr>
      </w:pPr>
      <w:r>
        <w:t xml:space="preserve">Guardrails detect/block defined risks.</w:t>
      </w:r>
    </w:p>
    <w:p>
      <w:pPr>
        <w:pStyle w:val="Compact"/>
        <w:numPr>
          <w:ilvl w:val="0"/>
          <w:numId w:val="1022"/>
        </w:numPr>
      </w:pPr>
      <w:r>
        <w:t xml:space="preserve">RAG evaluation metrics meet agreed thresholds.</w:t>
      </w:r>
    </w:p>
    <w:p>
      <w:pPr>
        <w:pStyle w:val="Compact"/>
        <w:numPr>
          <w:ilvl w:val="0"/>
          <w:numId w:val="1022"/>
        </w:numPr>
      </w:pPr>
      <w:r>
        <w:t xml:space="preserve">Existing fraud pipelines continue without functional regression.</w:t>
      </w:r>
    </w:p>
    <w:p>
      <w:pPr>
        <w:pStyle w:val="Compact"/>
        <w:numPr>
          <w:ilvl w:val="0"/>
          <w:numId w:val="1022"/>
        </w:numPr>
      </w:pPr>
      <w:r>
        <w:t xml:space="preserve">Production deployment can be managed through Databricks.</w:t>
      </w:r>
    </w:p>
    <w:p>
      <w:r>
        <w:pict>
          <v:rect style="width:0;height:1.5pt" o:hralign="center" o:hrstd="t" o:hr="t"/>
        </w:pict>
      </w:r>
    </w:p>
    <w:bookmarkEnd w:id="67"/>
    <w:bookmarkStart w:id="68" w:name="key-assumptions"/>
    <w:p>
      <w:pPr>
        <w:pStyle w:val="Heading1"/>
      </w:pPr>
      <w:r>
        <w:t xml:space="preserve">10. Key Assumptions</w:t>
      </w:r>
    </w:p>
    <w:p>
      <w:pPr>
        <w:pStyle w:val="FirstParagraph"/>
      </w:pPr>
      <w:r>
        <w:t xml:space="preserve">The proposed architecture assumes:</w:t>
      </w:r>
    </w:p>
    <w:p>
      <w:pPr>
        <w:pStyle w:val="Compact"/>
        <w:numPr>
          <w:ilvl w:val="0"/>
          <w:numId w:val="1023"/>
        </w:numPr>
      </w:pPr>
      <w:r>
        <w:t xml:space="preserve">Databricks is the strategic data/AI platform.</w:t>
      </w:r>
    </w:p>
    <w:p>
      <w:pPr>
        <w:pStyle w:val="Compact"/>
        <w:numPr>
          <w:ilvl w:val="0"/>
          <w:numId w:val="1023"/>
        </w:numPr>
      </w:pPr>
      <w:r>
        <w:t xml:space="preserve">Unity Catalog is enabled.</w:t>
      </w:r>
    </w:p>
    <w:p>
      <w:pPr>
        <w:pStyle w:val="Compact"/>
        <w:numPr>
          <w:ilvl w:val="0"/>
          <w:numId w:val="1023"/>
        </w:numPr>
      </w:pPr>
      <w:r>
        <w:t xml:space="preserve">Existing fraud data is accessible through governed Delta tables.</w:t>
      </w:r>
    </w:p>
    <w:p>
      <w:pPr>
        <w:pStyle w:val="Compact"/>
        <w:numPr>
          <w:ilvl w:val="0"/>
          <w:numId w:val="1023"/>
        </w:numPr>
      </w:pPr>
      <w:r>
        <w:t xml:space="preserve">Source document locations can be connected to Databricks.</w:t>
      </w:r>
    </w:p>
    <w:p>
      <w:pPr>
        <w:pStyle w:val="Compact"/>
        <w:numPr>
          <w:ilvl w:val="0"/>
          <w:numId w:val="1023"/>
        </w:numPr>
      </w:pPr>
      <w:r>
        <w:t xml:space="preserve">Appropriate model endpoints are available.</w:t>
      </w:r>
    </w:p>
    <w:p>
      <w:pPr>
        <w:pStyle w:val="Compact"/>
        <w:numPr>
          <w:ilvl w:val="0"/>
          <w:numId w:val="1023"/>
        </w:numPr>
      </w:pPr>
      <w:r>
        <w:t xml:space="preserve">Client identity and access-control requirements will be provided.</w:t>
      </w:r>
    </w:p>
    <w:p>
      <w:pPr>
        <w:pStyle w:val="Compact"/>
        <w:numPr>
          <w:ilvl w:val="0"/>
          <w:numId w:val="1023"/>
        </w:numPr>
      </w:pPr>
      <w:r>
        <w:t xml:space="preserve">Data classification rules will be provided.</w:t>
      </w:r>
    </w:p>
    <w:p>
      <w:pPr>
        <w:pStyle w:val="Compact"/>
        <w:numPr>
          <w:ilvl w:val="0"/>
          <w:numId w:val="1023"/>
        </w:numPr>
      </w:pPr>
      <w:r>
        <w:t xml:space="preserve">Fraud-domain SMEs will participate in evaluation.</w:t>
      </w:r>
    </w:p>
    <w:p>
      <w:r>
        <w:pict>
          <v:rect style="width:0;height:1.5pt" o:hralign="center" o:hrstd="t" o:hr="t"/>
        </w:pict>
      </w:r>
    </w:p>
    <w:bookmarkEnd w:id="68"/>
    <w:bookmarkStart w:id="69" w:name="open-business-questions"/>
    <w:p>
      <w:pPr>
        <w:pStyle w:val="Heading1"/>
      </w:pPr>
      <w:r>
        <w:t xml:space="preserve">11. Open Business Questions</w:t>
      </w:r>
    </w:p>
    <w:p>
      <w:pPr>
        <w:pStyle w:val="FirstParagraph"/>
      </w:pPr>
      <w:r>
        <w:t xml:space="preserve">The following must be confirmed during discovery:</w:t>
      </w:r>
    </w:p>
    <w:p>
      <w:pPr>
        <w:pStyle w:val="Compact"/>
        <w:numPr>
          <w:ilvl w:val="0"/>
          <w:numId w:val="1024"/>
        </w:numPr>
      </w:pPr>
      <w:r>
        <w:t xml:space="preserve">What are the exact document sources?</w:t>
      </w:r>
    </w:p>
    <w:p>
      <w:pPr>
        <w:pStyle w:val="Compact"/>
        <w:numPr>
          <w:ilvl w:val="0"/>
          <w:numId w:val="1024"/>
        </w:numPr>
      </w:pPr>
      <w:r>
        <w:t xml:space="preserve">What document formats are present?</w:t>
      </w:r>
    </w:p>
    <w:p>
      <w:pPr>
        <w:pStyle w:val="Compact"/>
        <w:numPr>
          <w:ilvl w:val="0"/>
          <w:numId w:val="1024"/>
        </w:numPr>
      </w:pPr>
      <w:r>
        <w:t xml:space="preserve">What is the expected document volume?</w:t>
      </w:r>
    </w:p>
    <w:p>
      <w:pPr>
        <w:pStyle w:val="Compact"/>
        <w:numPr>
          <w:ilvl w:val="0"/>
          <w:numId w:val="1024"/>
        </w:numPr>
      </w:pPr>
      <w:r>
        <w:t xml:space="preserve">What is the average document size?</w:t>
      </w:r>
    </w:p>
    <w:p>
      <w:pPr>
        <w:pStyle w:val="Compact"/>
        <w:numPr>
          <w:ilvl w:val="0"/>
          <w:numId w:val="1024"/>
        </w:numPr>
      </w:pPr>
      <w:r>
        <w:t xml:space="preserve">What is the expected ingestion frequency?</w:t>
      </w:r>
    </w:p>
    <w:p>
      <w:pPr>
        <w:pStyle w:val="Compact"/>
        <w:numPr>
          <w:ilvl w:val="0"/>
          <w:numId w:val="1024"/>
        </w:numPr>
      </w:pPr>
      <w:r>
        <w:t xml:space="preserve">What is the expected query volume?</w:t>
      </w:r>
    </w:p>
    <w:p>
      <w:pPr>
        <w:pStyle w:val="Compact"/>
        <w:numPr>
          <w:ilvl w:val="0"/>
          <w:numId w:val="1024"/>
        </w:numPr>
      </w:pPr>
      <w:r>
        <w:t xml:space="preserve">What are the latency requirements?</w:t>
      </w:r>
    </w:p>
    <w:p>
      <w:pPr>
        <w:pStyle w:val="Compact"/>
        <w:numPr>
          <w:ilvl w:val="0"/>
          <w:numId w:val="1024"/>
        </w:numPr>
      </w:pPr>
      <w:r>
        <w:t xml:space="preserve">Which users can access which domains?</w:t>
      </w:r>
    </w:p>
    <w:p>
      <w:pPr>
        <w:pStyle w:val="Compact"/>
        <w:numPr>
          <w:ilvl w:val="0"/>
          <w:numId w:val="1024"/>
        </w:numPr>
      </w:pPr>
      <w:r>
        <w:t xml:space="preserve">What data is classified as confidential?</w:t>
      </w:r>
    </w:p>
    <w:p>
      <w:pPr>
        <w:pStyle w:val="Compact"/>
        <w:numPr>
          <w:ilvl w:val="0"/>
          <w:numId w:val="1024"/>
        </w:numPr>
      </w:pPr>
      <w:r>
        <w:t xml:space="preserve">What PII exists in documents?</w:t>
      </w:r>
    </w:p>
    <w:p>
      <w:pPr>
        <w:pStyle w:val="Compact"/>
        <w:numPr>
          <w:ilvl w:val="0"/>
          <w:numId w:val="1024"/>
        </w:numPr>
      </w:pPr>
      <w:r>
        <w:t xml:space="preserve">What are the retention requirements?</w:t>
      </w:r>
    </w:p>
    <w:p>
      <w:pPr>
        <w:pStyle w:val="Compact"/>
        <w:numPr>
          <w:ilvl w:val="0"/>
          <w:numId w:val="1024"/>
        </w:numPr>
      </w:pPr>
      <w:r>
        <w:t xml:space="preserve">What are the compliance requirements?</w:t>
      </w:r>
    </w:p>
    <w:p>
      <w:pPr>
        <w:pStyle w:val="Compact"/>
        <w:numPr>
          <w:ilvl w:val="0"/>
          <w:numId w:val="1024"/>
        </w:numPr>
      </w:pPr>
      <w:r>
        <w:t xml:space="preserve">Which existing Gold tables are in scope?</w:t>
      </w:r>
    </w:p>
    <w:p>
      <w:pPr>
        <w:pStyle w:val="Compact"/>
        <w:numPr>
          <w:ilvl w:val="0"/>
          <w:numId w:val="1024"/>
        </w:numPr>
      </w:pPr>
      <w:r>
        <w:t xml:space="preserve">Which existing dashboards must remain unchanged?</w:t>
      </w:r>
    </w:p>
    <w:p>
      <w:pPr>
        <w:pStyle w:val="Compact"/>
        <w:numPr>
          <w:ilvl w:val="0"/>
          <w:numId w:val="1024"/>
        </w:numPr>
      </w:pPr>
      <w:r>
        <w:t xml:space="preserve">What authentication mechanism does the enterprise use?</w:t>
      </w:r>
    </w:p>
    <w:p>
      <w:pPr>
        <w:pStyle w:val="Compact"/>
        <w:numPr>
          <w:ilvl w:val="0"/>
          <w:numId w:val="1024"/>
        </w:numPr>
      </w:pPr>
      <w:r>
        <w:t xml:space="preserve">Which LLMs are approved?</w:t>
      </w:r>
    </w:p>
    <w:p>
      <w:pPr>
        <w:pStyle w:val="Compact"/>
        <w:numPr>
          <w:ilvl w:val="0"/>
          <w:numId w:val="1024"/>
        </w:numPr>
      </w:pPr>
      <w:r>
        <w:t xml:space="preserve">Are external model providers permitted?</w:t>
      </w:r>
    </w:p>
    <w:p>
      <w:pPr>
        <w:pStyle w:val="Compact"/>
        <w:numPr>
          <w:ilvl w:val="0"/>
          <w:numId w:val="1024"/>
        </w:numPr>
      </w:pPr>
      <w:r>
        <w:t xml:space="preserve">Which users are allowed to execute analytical SQL?</w:t>
      </w:r>
    </w:p>
    <w:p>
      <w:pPr>
        <w:pStyle w:val="Compact"/>
        <w:numPr>
          <w:ilvl w:val="0"/>
          <w:numId w:val="1024"/>
        </w:numPr>
      </w:pPr>
      <w:r>
        <w:t xml:space="preserve">What are the expected RAG quality thresholds?</w:t>
      </w:r>
    </w:p>
    <w:p>
      <w:pPr>
        <w:pStyle w:val="Compact"/>
        <w:numPr>
          <w:ilvl w:val="0"/>
          <w:numId w:val="1024"/>
        </w:numPr>
      </w:pPr>
      <w:r>
        <w:t xml:space="preserve">What are the disaster-recovery requirements?</w:t>
      </w:r>
    </w:p>
    <w:p>
      <w:r>
        <w:pict>
          <v:rect style="width:0;height:1.5pt" o:hralign="center" o:hrstd="t" o:hr="t"/>
        </w:pict>
      </w:r>
    </w:p>
    <w:bookmarkEnd w:id="69"/>
    <w:bookmarkStart w:id="70" w:name="expected-business-outcome"/>
    <w:p>
      <w:pPr>
        <w:pStyle w:val="Heading1"/>
      </w:pPr>
      <w:r>
        <w:t xml:space="preserve">12. Expected Business Outcome</w:t>
      </w:r>
    </w:p>
    <w:p>
      <w:pPr>
        <w:pStyle w:val="FirstParagraph"/>
      </w:pPr>
      <w:r>
        <w:t xml:space="preserve">The final platform will transform the existing environment from:</w:t>
      </w:r>
    </w:p>
    <w:p>
      <w:pPr>
        <w:pStyle w:val="BodyText"/>
      </w:pPr>
      <w:r>
        <w:rPr>
          <w:b/>
          <w:bCs/>
        </w:rPr>
        <w:t xml:space="preserve">Data + Documents + Manual Analysis</w:t>
      </w:r>
    </w:p>
    <w:p>
      <w:pPr>
        <w:pStyle w:val="BodyText"/>
      </w:pPr>
      <w:r>
        <w:t xml:space="preserve">into:</w:t>
      </w:r>
    </w:p>
    <w:p>
      <w:pPr>
        <w:pStyle w:val="BodyText"/>
      </w:pPr>
      <w:r>
        <w:rPr>
          <w:b/>
          <w:bCs/>
        </w:rPr>
        <w:t xml:space="preserve">Governed Enterprise Fraud Intelligence</w:t>
      </w:r>
    </w:p>
    <w:p>
      <w:pPr>
        <w:pStyle w:val="BodyText"/>
      </w:pPr>
      <w:r>
        <w:t xml:space="preserve">where users can securely interact with:</w:t>
      </w:r>
    </w:p>
    <w:p>
      <w:pPr>
        <w:pStyle w:val="BodyText"/>
      </w:pPr>
      <w:r>
        <w:rPr>
          <w:b/>
          <w:bCs/>
        </w:rPr>
        <w:t xml:space="preserve">Fraud Data + Enterprise Knowledge + AI</w:t>
      </w:r>
    </w:p>
    <w:p>
      <w:pPr>
        <w:pStyle w:val="BodyText"/>
      </w:pPr>
      <w:r>
        <w:t xml:space="preserve">without compromising existing production systems.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