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482" w:rsidRPr="000D0482" w:rsidRDefault="000D0482" w:rsidP="000D0482">
      <w:pPr>
        <w:pStyle w:val="Heading3"/>
      </w:pPr>
      <w:r>
        <w:t>CONCEPT FOR THREAT GUARD AI:</w:t>
      </w:r>
      <w:r>
        <w:br/>
      </w:r>
      <w:r>
        <w:br/>
      </w:r>
      <w:r w:rsidRPr="000D0482">
        <w:t>Repositioned Concept</w:t>
      </w:r>
    </w:p>
    <w:p w:rsidR="000D0482" w:rsidRPr="000D0482" w:rsidRDefault="000D0482" w:rsidP="000D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82">
        <w:rPr>
          <w:rFonts w:ascii="Times New Roman" w:eastAsia="Times New Roman" w:hAnsi="Times New Roman" w:cs="Times New Roman"/>
          <w:b/>
          <w:bCs/>
          <w:sz w:val="24"/>
          <w:szCs w:val="24"/>
        </w:rPr>
        <w:t>Name (working): SentinelLens</w:t>
      </w:r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 (or keep ThreatGuard AI if your team has brand attachment — the name isn't the </w:t>
      </w:r>
      <w:proofErr w:type="gramStart"/>
      <w:r w:rsidRPr="000D0482">
        <w:rPr>
          <w:rFonts w:ascii="Times New Roman" w:eastAsia="Times New Roman" w:hAnsi="Times New Roman" w:cs="Times New Roman"/>
          <w:sz w:val="24"/>
          <w:szCs w:val="24"/>
        </w:rPr>
        <w:t>issue,</w:t>
      </w:r>
      <w:proofErr w:type="gramEnd"/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 the claims were).</w:t>
      </w:r>
    </w:p>
    <w:p w:rsidR="000D0482" w:rsidRPr="000D0482" w:rsidRDefault="000D0482" w:rsidP="000D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82">
        <w:rPr>
          <w:rFonts w:ascii="Times New Roman" w:eastAsia="Times New Roman" w:hAnsi="Times New Roman" w:cs="Times New Roman"/>
          <w:b/>
          <w:bCs/>
          <w:sz w:val="24"/>
          <w:szCs w:val="24"/>
        </w:rPr>
        <w:t>New core thesis</w:t>
      </w:r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: An AI-powered investigation copilot that clusters related security events into incidents, scores them by a </w:t>
      </w:r>
      <w:r w:rsidRPr="000D0482">
        <w:rPr>
          <w:rFonts w:ascii="Times New Roman" w:eastAsia="Times New Roman" w:hAnsi="Times New Roman" w:cs="Times New Roman"/>
          <w:i/>
          <w:iCs/>
          <w:sz w:val="24"/>
          <w:szCs w:val="24"/>
        </w:rPr>
        <w:t>trained and evaluated</w:t>
      </w:r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 model (not invented percentages), and lets analysts query/investigate via natural language — with Splunk's AI stack (MCP Server, hosted models, AI Assistant) as the execution layer for that natural-language investigation, not as an afterthought data pump.</w:t>
      </w:r>
    </w:p>
    <w:p w:rsidR="000D0482" w:rsidRPr="000D0482" w:rsidRDefault="000D0482" w:rsidP="000D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Performance metrics become a </w:t>
      </w:r>
      <w:r w:rsidRPr="000D0482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corroborating signal</w:t>
      </w:r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, not the headline mechanism. The headline mechanism is </w:t>
      </w:r>
      <w:r w:rsidRPr="000D0482">
        <w:rPr>
          <w:rFonts w:ascii="Times New Roman" w:eastAsia="Times New Roman" w:hAnsi="Times New Roman" w:cs="Times New Roman"/>
          <w:b/>
          <w:bCs/>
          <w:sz w:val="24"/>
          <w:szCs w:val="24"/>
        </w:rPr>
        <w:t>entity-centric temporal correlation</w:t>
      </w:r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 (group events by user/host/IP within a time window into incident graphs) plus a model trained on a real labeled dataset.</w:t>
      </w:r>
    </w:p>
    <w:p w:rsidR="000D0482" w:rsidRPr="000D0482" w:rsidRDefault="000D0482" w:rsidP="000D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0482">
        <w:rPr>
          <w:rFonts w:ascii="Times New Roman" w:eastAsia="Times New Roman" w:hAnsi="Times New Roman" w:cs="Times New Roman"/>
          <w:b/>
          <w:bCs/>
          <w:sz w:val="27"/>
          <w:szCs w:val="27"/>
        </w:rPr>
        <w:t>Why Local-First Is Actually the Right Call</w:t>
      </w:r>
    </w:p>
    <w:p w:rsidR="000D0482" w:rsidRPr="000D0482" w:rsidRDefault="000D0482" w:rsidP="000D0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82">
        <w:rPr>
          <w:rFonts w:ascii="Times New Roman" w:eastAsia="Times New Roman" w:hAnsi="Times New Roman" w:cs="Times New Roman"/>
          <w:sz w:val="24"/>
          <w:szCs w:val="24"/>
        </w:rPr>
        <w:t>Your instinct to build locally first is correct, and it directly fixes the biggest structural risk in the original proposal: betting the entire build on a live Splunk connection from day one, with a 60-day trial clock running and an evolving MCP Server API. Building local-first means:</w:t>
      </w:r>
    </w:p>
    <w:p w:rsidR="000D0482" w:rsidRPr="000D0482" w:rsidRDefault="000D0482" w:rsidP="000D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You develop and validate the detection/correlation/scoring logic against a </w:t>
      </w:r>
      <w:r w:rsidRPr="000D0482">
        <w:rPr>
          <w:rFonts w:ascii="Times New Roman" w:eastAsia="Times New Roman" w:hAnsi="Times New Roman" w:cs="Times New Roman"/>
          <w:b/>
          <w:bCs/>
          <w:sz w:val="24"/>
          <w:szCs w:val="24"/>
        </w:rPr>
        <w:t>static labeled dataset</w:t>
      </w:r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 (no flaky live connection, no license countdown anxiety during core dev).</w:t>
      </w:r>
    </w:p>
    <w:p w:rsidR="000D0482" w:rsidRPr="000D0482" w:rsidRDefault="000D0482" w:rsidP="000D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Splunk becomes a </w:t>
      </w:r>
      <w:r w:rsidRPr="000D0482">
        <w:rPr>
          <w:rFonts w:ascii="Times New Roman" w:eastAsia="Times New Roman" w:hAnsi="Times New Roman" w:cs="Times New Roman"/>
          <w:b/>
          <w:bCs/>
          <w:sz w:val="24"/>
          <w:szCs w:val="24"/>
        </w:rPr>
        <w:t>pluggable data source</w:t>
      </w:r>
      <w:r w:rsidRPr="000D0482">
        <w:rPr>
          <w:rFonts w:ascii="Times New Roman" w:eastAsia="Times New Roman" w:hAnsi="Times New Roman" w:cs="Times New Roman"/>
          <w:sz w:val="24"/>
          <w:szCs w:val="24"/>
        </w:rPr>
        <w:t>, swapped in later behind an interface — so if Splunk integration has problems in week 6, you still have a working demo on local data.</w:t>
      </w:r>
    </w:p>
    <w:p w:rsidR="000D0482" w:rsidRPr="000D0482" w:rsidRDefault="000D0482" w:rsidP="000D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Your "11-15 days" original estimate gets replaced with something more honest: ~3 </w:t>
      </w:r>
      <w:proofErr w:type="gramStart"/>
      <w:r w:rsidRPr="000D0482">
        <w:rPr>
          <w:rFonts w:ascii="Times New Roman" w:eastAsia="Times New Roman" w:hAnsi="Times New Roman" w:cs="Times New Roman"/>
          <w:sz w:val="24"/>
          <w:szCs w:val="24"/>
        </w:rPr>
        <w:t>weeks</w:t>
      </w:r>
      <w:proofErr w:type="gramEnd"/>
      <w:r w:rsidRPr="000D0482">
        <w:rPr>
          <w:rFonts w:ascii="Times New Roman" w:eastAsia="Times New Roman" w:hAnsi="Times New Roman" w:cs="Times New Roman"/>
          <w:sz w:val="24"/>
          <w:szCs w:val="24"/>
        </w:rPr>
        <w:t xml:space="preserve"> local core, ~3 weeks Splunk/MCP integration, ~2 weeks polish/eval/docs.</w:t>
      </w:r>
    </w:p>
    <w:p w:rsidR="007A71FF" w:rsidRDefault="000D0482">
      <w:r w:rsidRPr="000D0482">
        <w:lastRenderedPageBreak/>
        <w:drawing>
          <wp:inline distT="0" distB="0" distL="0" distR="0" wp14:anchorId="510F3E04" wp14:editId="2BA5645A">
            <wp:extent cx="5943600" cy="3139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482" w:rsidRDefault="000D0482" w:rsidP="000D0482">
      <w:pPr>
        <w:pStyle w:val="font-claude-response-body"/>
      </w:pPr>
      <w:r>
        <w:t>Here's the breakdown of each piece and how the phasing works.</w:t>
      </w:r>
    </w:p>
    <w:p w:rsidR="000D0482" w:rsidRDefault="000D0482" w:rsidP="000D0482">
      <w:pPr>
        <w:pStyle w:val="Heading3"/>
      </w:pPr>
      <w:r>
        <w:t>Component-by-Component Design</w:t>
      </w:r>
    </w:p>
    <w:p w:rsidR="000D0482" w:rsidRDefault="000D0482" w:rsidP="000D0482">
      <w:pPr>
        <w:pStyle w:val="font-claude-response-body"/>
      </w:pPr>
      <w:r>
        <w:rPr>
          <w:rStyle w:val="Strong"/>
        </w:rPr>
        <w:t>Local dataset (teal, phase 0)</w:t>
      </w:r>
      <w:r>
        <w:t xml:space="preserve">: Use Splunk's </w:t>
      </w:r>
      <w:r>
        <w:rPr>
          <w:rStyle w:val="Strong"/>
        </w:rPr>
        <w:t>Boss of the SOC (BOTS) dataset</w:t>
      </w:r>
      <w:r>
        <w:t xml:space="preserve"> — it's public, free, and comes with labeled attack scenarios across multiple categories (recon, exploitation, exfiltration, etc.). Export the relevant subsets as JSON/CSV and load them locally. This is your ground truth for everything — without it, every "accuracy" number you produce is fiction, same as the original proposal.</w:t>
      </w:r>
    </w:p>
    <w:p w:rsidR="000D0482" w:rsidRDefault="000D0482" w:rsidP="000D0482">
      <w:pPr>
        <w:pStyle w:val="font-claude-response-body"/>
      </w:pPr>
      <w:r>
        <w:rPr>
          <w:rStyle w:val="Strong"/>
        </w:rPr>
        <w:t>Data source adapter (gray, the load-bearing abstraction)</w:t>
      </w:r>
      <w:r>
        <w:t xml:space="preserve">: A simple Python interface — </w:t>
      </w:r>
      <w:r>
        <w:rPr>
          <w:rStyle w:val="HTMLCode"/>
        </w:rPr>
        <w:t>get_</w:t>
      </w:r>
      <w:proofErr w:type="gramStart"/>
      <w:r>
        <w:rPr>
          <w:rStyle w:val="HTMLCode"/>
        </w:rPr>
        <w:t>events(</w:t>
      </w:r>
      <w:proofErr w:type="gramEnd"/>
      <w:r>
        <w:rPr>
          <w:rStyle w:val="HTMLCode"/>
        </w:rPr>
        <w:t>query, start_time, end_time) -&gt; List[Event]</w:t>
      </w:r>
      <w:r>
        <w:t xml:space="preserve"> and </w:t>
      </w:r>
      <w:r>
        <w:rPr>
          <w:rStyle w:val="HTMLCode"/>
        </w:rPr>
        <w:t>get_metrics(host, metric_type, timeframe) -&gt; List[MetricPoint]</w:t>
      </w:r>
      <w:r>
        <w:t xml:space="preserve">. Phase 0 implements </w:t>
      </w:r>
      <w:r>
        <w:rPr>
          <w:rStyle w:val="HTMLCode"/>
        </w:rPr>
        <w:t>LocalFileDataSource</w:t>
      </w:r>
      <w:r>
        <w:t xml:space="preserve"> (reads BOTS exports). Phase 1 implements </w:t>
      </w:r>
      <w:r>
        <w:rPr>
          <w:rStyle w:val="HTMLCode"/>
        </w:rPr>
        <w:t>SplunkDataSource</w:t>
      </w:r>
      <w:r>
        <w:t xml:space="preserve"> (SDK/REST/HEC, optionally routed through MCP Server). Everything downstream — normalizer, correlation engine, dashboard — never knows or cares which one is active. This single design decision is what makes the project survive a Splunk integration failure: if MCP Server proves unstable in week 5, you demo on </w:t>
      </w:r>
      <w:r>
        <w:rPr>
          <w:rStyle w:val="HTMLCode"/>
        </w:rPr>
        <w:t>LocalFileDataSource</w:t>
      </w:r>
      <w:r>
        <w:t xml:space="preserve"> and lose nothing visually.</w:t>
      </w:r>
    </w:p>
    <w:p w:rsidR="000D0482" w:rsidRDefault="000D0482" w:rsidP="000D0482">
      <w:pPr>
        <w:pStyle w:val="font-claude-response-body"/>
      </w:pPr>
      <w:r>
        <w:rPr>
          <w:rStyle w:val="Strong"/>
        </w:rPr>
        <w:t>Event normalizer (teal)</w:t>
      </w:r>
      <w:r>
        <w:t xml:space="preserve">: Converts whatever schema the data source returns (CIM-ish fields from Splunk, or BOTS's native schema) into one internal </w:t>
      </w:r>
      <w:r>
        <w:rPr>
          <w:rStyle w:val="HTMLCode"/>
        </w:rPr>
        <w:t>Event</w:t>
      </w:r>
      <w:r>
        <w:t xml:space="preserve"> shape: </w:t>
      </w:r>
      <w:r>
        <w:rPr>
          <w:rStyle w:val="HTMLCode"/>
        </w:rPr>
        <w:t>{timestamp, entity_id (user/host/IP), event_type, severity, raw_fields}</w:t>
      </w:r>
      <w:r>
        <w:t>. This is unglamorous but is the thing that actually prevents the "garbage in, garbage out" failure mode — most hackathon ML demos break here silently.</w:t>
      </w:r>
    </w:p>
    <w:p w:rsidR="000D0482" w:rsidRDefault="000D0482" w:rsidP="000D0482">
      <w:pPr>
        <w:pStyle w:val="font-claude-response-body"/>
      </w:pPr>
      <w:r>
        <w:rPr>
          <w:rStyle w:val="Strong"/>
        </w:rPr>
        <w:lastRenderedPageBreak/>
        <w:t>Correlation engine (teal)</w:t>
      </w:r>
      <w:r>
        <w:t xml:space="preserve"> — this is where I want you to deliberately </w:t>
      </w:r>
      <w:r>
        <w:rPr>
          <w:rStyle w:val="Emphasis"/>
        </w:rPr>
        <w:t>not</w:t>
      </w:r>
      <w:r>
        <w:t xml:space="preserve"> repeat the original's mistake. Build it around </w:t>
      </w:r>
      <w:r>
        <w:rPr>
          <w:rStyle w:val="Strong"/>
        </w:rPr>
        <w:t>entity-centric temporal clustering</w:t>
      </w:r>
      <w:r>
        <w:t xml:space="preserve">: group events sharing an entity (user, host, source IP) within a sliding time window into a candidate "incident graph" (use </w:t>
      </w:r>
      <w:r>
        <w:rPr>
          <w:rStyle w:val="HTMLCode"/>
        </w:rPr>
        <w:t>networkx</w:t>
      </w:r>
      <w:r>
        <w:t xml:space="preserve"> — trivial, well-documented, no exotic dependency). Within each cluster, compute a feature vector: event diversity, severity sum, time density, entity fan-out (how many distinct hosts/users touched), and — </w:t>
      </w:r>
      <w:r>
        <w:rPr>
          <w:rStyle w:val="Emphasis"/>
        </w:rPr>
        <w:t>as one feature among several, not the headline</w:t>
      </w:r>
      <w:r>
        <w:t xml:space="preserve"> — a performance-deviation score if metrics are available. This is defensible: "we cluster related activity and rank clusters by a multi-signal score" is true and explainable, vs. "slowness proves attack" which is false.</w:t>
      </w:r>
    </w:p>
    <w:p w:rsidR="000D0482" w:rsidRDefault="000D0482" w:rsidP="000D0482">
      <w:pPr>
        <w:pStyle w:val="font-claude-response-body"/>
      </w:pPr>
      <w:r>
        <w:rPr>
          <w:rStyle w:val="Strong"/>
        </w:rPr>
        <w:t>Confidence scorer (folded into correlation engine box)</w:t>
      </w:r>
      <w:r>
        <w:t xml:space="preserve">: Train a simple model — logistic regression or gradient-boosted trees on the feature vectors above — against BOTS's labeled incidents. Report </w:t>
      </w:r>
      <w:r>
        <w:rPr>
          <w:rStyle w:val="Strong"/>
        </w:rPr>
        <w:t>actual</w:t>
      </w:r>
      <w:r>
        <w:t xml:space="preserve"> precision/recall/F1 on a held-out split. Expect something like 60-80%, not 95%. That's fine. A judge respects "we measured 73% precision on BOTS v3, here's the confusion matrix" infinitely more than an invented 95%.</w:t>
      </w:r>
    </w:p>
    <w:p w:rsidR="000D0482" w:rsidRDefault="000D0482" w:rsidP="000D0482">
      <w:pPr>
        <w:pStyle w:val="font-claude-response-body"/>
      </w:pPr>
      <w:r>
        <w:rPr>
          <w:rStyle w:val="Strong"/>
        </w:rPr>
        <w:t>Incident dashboard (teal)</w:t>
      </w:r>
      <w:r>
        <w:t>: React or even server-rendered (Flask + HTMX is lighter for a 2-month hackathon than a full React build) showing ranked incident clusters, drill-down into constituent events, and a timeline view. Keep this scoped — don't rebuild a SIEM UI.</w:t>
      </w:r>
    </w:p>
    <w:p w:rsidR="000D0482" w:rsidRDefault="000D0482" w:rsidP="000D0482">
      <w:pPr>
        <w:pStyle w:val="font-claude-response-body"/>
      </w:pPr>
      <w:r>
        <w:rPr>
          <w:rStyle w:val="Strong"/>
        </w:rPr>
        <w:t>Investigation agent (blue, phase 2)</w:t>
      </w:r>
      <w:r>
        <w:t>: This is your differentiation and bounty target. Once Splunk is connected, expose a chat-style interface where an analyst asks "what happened with user X in the last hour" and the agent translates that into SPL via Splunk's AI Assistant / generates queries through MCP Server, executes them, and summarizes results in the incident timeline. This is the part that's actually "agentic ops" — directly aligned with the hackathon's name and the MCP Server / AI Assistant / Hosted Models bounties.</w:t>
      </w:r>
    </w:p>
    <w:p w:rsidR="000D0482" w:rsidRDefault="000D0482" w:rsidP="000D0482">
      <w:pPr>
        <w:pStyle w:val="Heading3"/>
      </w:pPr>
      <w:r>
        <w:t>Phased Build Plan</w:t>
      </w:r>
    </w:p>
    <w:p w:rsidR="000D0482" w:rsidRDefault="000D0482" w:rsidP="000D0482">
      <w:pPr>
        <w:pStyle w:val="font-claude-response-body"/>
      </w:pPr>
      <w:r>
        <w:rPr>
          <w:rStyle w:val="Strong"/>
        </w:rPr>
        <w:t>Weeks 1-3 (local only)</w:t>
      </w:r>
      <w:r>
        <w:t xml:space="preserve">: Set up repo structure, BOTS data export and normalizer, correlation engine with </w:t>
      </w:r>
      <w:r>
        <w:rPr>
          <w:rStyle w:val="HTMLCode"/>
        </w:rPr>
        <w:t>networkx</w:t>
      </w:r>
      <w:r>
        <w:t xml:space="preserve"> clustering, train and evaluate the scorer, basic dashboard showing ranked incidents from local data. </w:t>
      </w:r>
      <w:r>
        <w:rPr>
          <w:rStyle w:val="Strong"/>
        </w:rPr>
        <w:t>Deliverable at end of week 3: a fully working demo on local data, with real measured precision/recall.</w:t>
      </w:r>
      <w:r>
        <w:t xml:space="preserve"> This is your insurance — even in the worst case, you submit this.</w:t>
      </w:r>
    </w:p>
    <w:p w:rsidR="000D0482" w:rsidRDefault="000D0482" w:rsidP="000D0482">
      <w:pPr>
        <w:pStyle w:val="font-claude-response-body"/>
      </w:pPr>
      <w:r>
        <w:rPr>
          <w:rStyle w:val="Strong"/>
        </w:rPr>
        <w:t>Weeks 4-6 (Splunk integration)</w:t>
      </w:r>
      <w:r>
        <w:t xml:space="preserve">: Implement </w:t>
      </w:r>
      <w:r>
        <w:rPr>
          <w:rStyle w:val="HTMLCode"/>
        </w:rPr>
        <w:t>SplunkDataSource</w:t>
      </w:r>
      <w:r>
        <w:t xml:space="preserve">, set up Splunk dev license (do this in week 1 in parallel so the clock isn't wasted — license setup is independent of the local build), get the metrics pipeline running (Splunk UF + OS metrics add-on, or a synthetic metrics generator if that's too heavy), wire up the investigation agent via MCP Server / AI Assistant. </w:t>
      </w:r>
      <w:r>
        <w:rPr>
          <w:rStyle w:val="Strong"/>
        </w:rPr>
        <w:t>If MCP Server proves too unstable or undocumented, fall back to direct SPL generation via Splunk's hosted models or the Python SDK</w:t>
      </w:r>
      <w:r>
        <w:t xml:space="preserve"> — you still get a working agent, just maybe miss one bounty category instead of breaking the whole demo.</w:t>
      </w:r>
    </w:p>
    <w:p w:rsidR="000D0482" w:rsidRDefault="000D0482" w:rsidP="000D0482">
      <w:pPr>
        <w:pStyle w:val="font-claude-response-body"/>
      </w:pPr>
      <w:r>
        <w:rPr>
          <w:rStyle w:val="Strong"/>
        </w:rPr>
        <w:t>Weeks 7-8 (polish)</w:t>
      </w:r>
      <w:r>
        <w:t>: Architecture diagram (you now have a real one to draw, matching what you built), README, demo video, API docs, test coverage on the correlation/scoring logic specifically (judges value "Technological Implementation" — tested code signals this).</w:t>
      </w:r>
    </w:p>
    <w:p w:rsidR="000D0482" w:rsidRDefault="000D0482" w:rsidP="000D0482">
      <w:pPr>
        <w:pStyle w:val="Heading3"/>
      </w:pPr>
      <w:r>
        <w:lastRenderedPageBreak/>
        <w:t>Realistic Metrics Table (replace the fabricated one)</w:t>
      </w:r>
    </w:p>
    <w:p w:rsidR="000D0482" w:rsidRDefault="000D0482" w:rsidP="000D0482">
      <w:pPr>
        <w:pStyle w:val="font-claude-response-body"/>
      </w:pPr>
      <w:r>
        <w:t>Don't publish numbers until you've measured them. The honest table you submit should look like:</w:t>
      </w:r>
    </w:p>
    <w:p w:rsidR="000D0482" w:rsidRDefault="000D0482" w:rsidP="000D0482">
      <w:pPr>
        <w:pStyle w:val="font-claude-response-body"/>
      </w:pPr>
      <w:r>
        <w:t>Metric | Measurement basis</w:t>
      </w:r>
      <w:r>
        <w:br/>
        <w:t>Precision on BOTS held-out set | Measured against labeled BOTS incidents, reported with confusion matrix</w:t>
      </w:r>
      <w:r>
        <w:br/>
        <w:t>Recall on BOTS held-out set | Same</w:t>
      </w:r>
      <w:r>
        <w:br/>
        <w:t>Alert volume reduction | Compare raw event count vs. number of incident clusters surfaced, on the same dataset — this is a real, computable ratio</w:t>
      </w:r>
      <w:r>
        <w:br/>
        <w:t>Investigation time | Don't claim "2-3 hours → 5 minutes" unless you ran a user study. If you didn't, say "the dashboard surfaces the full event timeline for an incident in one view, replacing manual cross-referencing across N source logs" — describe the mechanism, not a stopwatch number you didn't measure.</w:t>
      </w:r>
    </w:p>
    <w:p w:rsidR="000D0482" w:rsidRDefault="000D0482" w:rsidP="000D0482">
      <w:pPr>
        <w:pStyle w:val="Heading3"/>
      </w:pPr>
      <w:r>
        <w:t>Risk Table (the things that can still sink this)</w:t>
      </w:r>
    </w:p>
    <w:p w:rsidR="000D0482" w:rsidRDefault="000D0482" w:rsidP="000D0482">
      <w:pPr>
        <w:pStyle w:val="font-claude-response-body"/>
      </w:pPr>
      <w:r>
        <w:t>Risk | Mitigation</w:t>
      </w:r>
      <w:r>
        <w:br/>
        <w:t>Splunk dev license setup delayed | Do this in week 1, in parallel with local dev — it's on the critical path for phase 1 only, not phase 0</w:t>
      </w:r>
      <w:r>
        <w:br/>
        <w:t>MCP Server API immature/undocumented | Adapter pattern isolates this; fallback to SDK/REST if MCP integration stalls</w:t>
      </w:r>
      <w:r>
        <w:br/>
        <w:t>BOTS dataset doesn't have a "performance metrics" dimension correlated with its attacks | Don't force performance correlation as a primary signal — use it as an optional feature, and if it adds no value in your eval, say so honestly ("we tested this hypothesis and found X")</w:t>
      </w:r>
      <w:r>
        <w:br/>
        <w:t>Team underestimates frontend time | HTMX/server-rendered dashboard instead of full React+WebSocket cuts this significantly for a 2-3 person team</w:t>
      </w:r>
      <w:r>
        <w:br/>
        <w:t>Demo depends on live Splunk connection on submission day | Always have the local-data demo path as backup; record the video against whichever path is more reliable on recording day</w:t>
      </w:r>
    </w:p>
    <w:p w:rsidR="000D0482" w:rsidRDefault="000D0482" w:rsidP="000D0482">
      <w:pPr>
        <w:pStyle w:val="Heading3"/>
      </w:pPr>
      <w:r>
        <w:t>Final Verdict</w:t>
      </w:r>
    </w:p>
    <w:p w:rsidR="000D0482" w:rsidRDefault="000D0482" w:rsidP="000D0482">
      <w:pPr>
        <w:pStyle w:val="font-claude-response-body"/>
      </w:pPr>
      <w:r>
        <w:rPr>
          <w:rStyle w:val="Strong"/>
          <w:rFonts w:ascii="Segoe UI Symbol" w:hAnsi="Segoe UI Symbol" w:cs="Segoe UI Symbol"/>
        </w:rPr>
        <w:t>✅</w:t>
      </w:r>
      <w:r>
        <w:rPr>
          <w:rStyle w:val="Strong"/>
        </w:rPr>
        <w:t xml:space="preserve"> Viable, with the caveat that "flawless" means "no single point of failure," not "no risk anywhere."</w:t>
      </w:r>
      <w:r>
        <w:t xml:space="preserve"> The local-first + adapter-pattern approach directly addresses the biggest structural weakness in the original proposal (over-reliance on a live Splunk connection and an unproven performance-correlation hypothesis), and the phased plan gives you a complete, demo-able fallback at the end of week 3 regardless of how the Splunk integration goes. The honest-metrics approach costs you some "wow factor" in the pitch deck but gains far more in judge credibility — and "Quality of the Idea" and "Technological Implementation" are both better served by a real, modest, well-tested system than an impressive-sounding one that collapses under the first technical question.</w:t>
      </w:r>
    </w:p>
    <w:p w:rsidR="000D0482" w:rsidRDefault="000D0482">
      <w:bookmarkStart w:id="0" w:name="_GoBack"/>
      <w:bookmarkEnd w:id="0"/>
    </w:p>
    <w:sectPr w:rsidR="000D0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E1080B"/>
    <w:multiLevelType w:val="multilevel"/>
    <w:tmpl w:val="576A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82"/>
    <w:rsid w:val="000D0482"/>
    <w:rsid w:val="007A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BC19"/>
  <w15:chartTrackingRefBased/>
  <w15:docId w15:val="{89C29F42-C31F-4973-A6F1-311AD9E71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0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048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0D0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0482"/>
    <w:rPr>
      <w:b/>
      <w:bCs/>
    </w:rPr>
  </w:style>
  <w:style w:type="character" w:styleId="Emphasis">
    <w:name w:val="Emphasis"/>
    <w:basedOn w:val="DefaultParagraphFont"/>
    <w:uiPriority w:val="20"/>
    <w:qFormat/>
    <w:rsid w:val="000D04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D04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1337</Words>
  <Characters>7626</Characters>
  <Application>Microsoft Office Word</Application>
  <DocSecurity>0</DocSecurity>
  <Lines>63</Lines>
  <Paragraphs>17</Paragraphs>
  <ScaleCrop>false</ScaleCrop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2026-06-14T12:11:00Z</dcterms:created>
  <dcterms:modified xsi:type="dcterms:W3CDTF">2026-06-14T12:13:00Z</dcterms:modified>
</cp:coreProperties>
</file>