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b/>
          <w:bCs/>
          <w:color w:val="1E2A5E"/>
          <w:sz w:val="56"/>
          <w:szCs w:val="56"/>
        </w:rPr>
        <w:t xml:space="preserve">QuakeNet</w:t>
      </w:r>
    </w:p>
    <w:p>
      <w:pPr>
        <w:spacing w:after="400"/>
        <w:jc w:val="center"/>
      </w:pPr>
      <w:r>
        <w:rPr>
          <w:b/>
          <w:bCs/>
          <w:sz w:val="30"/>
          <w:szCs w:val="30"/>
        </w:rPr>
        <w:t xml:space="preserve">Earthquake Early Warning &amp; Emergency Response Network</w:t>
      </w:r>
    </w:p>
    <w:p>
      <w:pPr>
        <w:spacing w:after="80"/>
        <w:jc w:val="center"/>
      </w:pPr>
      <w:r>
        <w:rPr>
          <w:sz w:val="24"/>
          <w:szCs w:val="24"/>
        </w:rPr>
        <w:t xml:space="preserve">CSE421 — Computer Network</w:t>
      </w:r>
    </w:p>
    <w:p>
      <w:pPr>
        <w:spacing w:after="700"/>
        <w:jc w:val="center"/>
      </w:pPr>
      <w:r>
        <w:rPr>
          <w:sz w:val="22"/>
          <w:szCs w:val="22"/>
        </w:rPr>
        <w:t xml:space="preserve">Section 07  |  Group 703</w:t>
      </w:r>
    </w:p>
    <w:p>
      <w:pPr>
        <w:spacing w:after="900"/>
        <w:jc w:val="center"/>
      </w:pPr>
      <w:r>
        <w:rPr>
          <w:i/>
          <w:iCs/>
          <w:sz w:val="22"/>
          <w:szCs w:val="22"/>
        </w:rPr>
        <w:t xml:space="preserve">Project Report</w:t>
      </w:r>
    </w:p>
    <w:p>
      <w:pPr>
        <w:spacing w:after="160"/>
        <w:jc w:val="center"/>
      </w:pPr>
      <w:r>
        <w:rPr>
          <w:b/>
          <w:bCs/>
          <w:sz w:val="22"/>
          <w:szCs w:val="22"/>
        </w:rPr>
        <w:t xml:space="preserve">Group Members</w:t>
      </w:r>
    </w:p>
    <w:p>
      <w:pPr>
        <w:spacing w:after="70"/>
        <w:jc w:val="center"/>
      </w:pPr>
      <w:r>
        <w:rPr>
          <w:sz w:val="22"/>
          <w:szCs w:val="22"/>
        </w:rPr>
        <w:t xml:space="preserve">Tahamidul Alam Chowdhury  —  22299066</w:t>
      </w:r>
    </w:p>
    <w:p>
      <w:pPr>
        <w:spacing w:after="70"/>
        <w:jc w:val="center"/>
      </w:pPr>
      <w:r>
        <w:rPr>
          <w:sz w:val="22"/>
          <w:szCs w:val="22"/>
        </w:rPr>
        <w:t xml:space="preserve">Bornil Barua  —  22201838</w:t>
      </w:r>
    </w:p>
    <w:p>
      <w:pPr>
        <w:spacing w:after="70"/>
        <w:jc w:val="center"/>
      </w:pPr>
      <w:r>
        <w:rPr>
          <w:sz w:val="22"/>
          <w:szCs w:val="22"/>
        </w:rPr>
        <w:t xml:space="preserve">Tabia Sultana Ritu  —  23201510</w:t>
      </w:r>
    </w:p>
    <w:p>
      <w:pPr>
        <w:spacing w:after="70"/>
        <w:jc w:val="center"/>
      </w:pPr>
      <w:r>
        <w:rPr>
          <w:sz w:val="22"/>
          <w:szCs w:val="22"/>
        </w:rPr>
        <w:t xml:space="preserve">Syed Kafi  —  23101135</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Table of Contents</w:t>
      </w:r>
    </w:p>
    <w:p>
      <w:pPr>
        <w:tabs>
          <w:tab w:val="right" w:pos="9360" w:leader="dot"/>
        </w:tabs>
        <w:spacing w:after="140"/>
      </w:pPr>
      <w:r>
        <w:rPr>
          <w:sz w:val="22"/>
          <w:szCs w:val="22"/>
        </w:rPr>
        <w:t xml:space="preserve">1. Introduction</w:t>
      </w:r>
      <w:r>
        <w:rPr>
          <w:sz w:val="22"/>
          <w:szCs w:val="22"/>
        </w:rPr>
        <w:t xml:space="preserve">	1</w:t>
      </w:r>
    </w:p>
    <w:p>
      <w:pPr>
        <w:tabs>
          <w:tab w:val="right" w:pos="9360" w:leader="dot"/>
        </w:tabs>
        <w:spacing w:after="140"/>
      </w:pPr>
      <w:r>
        <w:rPr>
          <w:sz w:val="22"/>
          <w:szCs w:val="22"/>
        </w:rPr>
        <w:t xml:space="preserve">2. Network Topology</w:t>
      </w:r>
      <w:r>
        <w:rPr>
          <w:sz w:val="22"/>
          <w:szCs w:val="22"/>
        </w:rPr>
        <w:t xml:space="preserve">	1</w:t>
      </w:r>
    </w:p>
    <w:p>
      <w:pPr>
        <w:tabs>
          <w:tab w:val="right" w:pos="9360" w:leader="dot"/>
        </w:tabs>
        <w:spacing w:after="140"/>
      </w:pPr>
      <w:r>
        <w:rPr>
          <w:sz w:val="22"/>
          <w:szCs w:val="22"/>
        </w:rPr>
        <w:t xml:space="preserve">3. IP Addressing Scheme</w:t>
      </w:r>
      <w:r>
        <w:rPr>
          <w:sz w:val="22"/>
          <w:szCs w:val="22"/>
        </w:rPr>
        <w:t xml:space="preserve">	2</w:t>
      </w:r>
    </w:p>
    <w:p>
      <w:pPr>
        <w:tabs>
          <w:tab w:val="right" w:pos="9360" w:leader="dot"/>
        </w:tabs>
        <w:spacing w:after="140"/>
      </w:pPr>
      <w:r>
        <w:rPr>
          <w:sz w:val="22"/>
          <w:szCs w:val="22"/>
        </w:rPr>
        <w:t xml:space="preserve">4. Device Inventory</w:t>
      </w:r>
      <w:r>
        <w:rPr>
          <w:sz w:val="22"/>
          <w:szCs w:val="22"/>
        </w:rPr>
        <w:t xml:space="preserve">	4</w:t>
      </w:r>
    </w:p>
    <w:p>
      <w:pPr>
        <w:tabs>
          <w:tab w:val="right" w:pos="9360" w:leader="dot"/>
        </w:tabs>
        <w:spacing w:after="140"/>
      </w:pPr>
      <w:r>
        <w:rPr>
          <w:sz w:val="22"/>
          <w:szCs w:val="22"/>
        </w:rPr>
        <w:t xml:space="preserve">5. Router Configurations</w:t>
      </w:r>
      <w:r>
        <w:rPr>
          <w:sz w:val="22"/>
          <w:szCs w:val="22"/>
        </w:rPr>
        <w:t xml:space="preserve">	4</w:t>
      </w:r>
    </w:p>
    <w:p>
      <w:pPr>
        <w:tabs>
          <w:tab w:val="right" w:pos="9360" w:leader="dot"/>
        </w:tabs>
        <w:spacing w:after="140"/>
      </w:pPr>
      <w:r>
        <w:rPr>
          <w:sz w:val="22"/>
          <w:szCs w:val="22"/>
        </w:rPr>
        <w:t xml:space="preserve">6. DHCP Configuration</w:t>
      </w:r>
      <w:r>
        <w:rPr>
          <w:sz w:val="22"/>
          <w:szCs w:val="22"/>
        </w:rPr>
        <w:t xml:space="preserve">	8</w:t>
      </w:r>
    </w:p>
    <w:p>
      <w:pPr>
        <w:tabs>
          <w:tab w:val="right" w:pos="9360" w:leader="dot"/>
        </w:tabs>
        <w:spacing w:after="140"/>
      </w:pPr>
      <w:r>
        <w:rPr>
          <w:sz w:val="22"/>
          <w:szCs w:val="22"/>
        </w:rPr>
        <w:t xml:space="preserve">7. Routing Design</w:t>
      </w:r>
      <w:r>
        <w:rPr>
          <w:sz w:val="22"/>
          <w:szCs w:val="22"/>
        </w:rPr>
        <w:t xml:space="preserve">	8</w:t>
      </w:r>
    </w:p>
    <w:p>
      <w:pPr>
        <w:tabs>
          <w:tab w:val="right" w:pos="9360" w:leader="dot"/>
        </w:tabs>
        <w:spacing w:after="140"/>
      </w:pPr>
      <w:r>
        <w:rPr>
          <w:sz w:val="22"/>
          <w:szCs w:val="22"/>
        </w:rPr>
        <w:t xml:space="preserve">8. Server Configuration</w:t>
      </w:r>
      <w:r>
        <w:rPr>
          <w:sz w:val="22"/>
          <w:szCs w:val="22"/>
        </w:rPr>
        <w:t xml:space="preserve">	9</w:t>
      </w:r>
    </w:p>
    <w:p>
      <w:pPr>
        <w:tabs>
          <w:tab w:val="right" w:pos="9360" w:leader="dot"/>
        </w:tabs>
        <w:spacing w:after="140"/>
      </w:pPr>
      <w:r>
        <w:rPr>
          <w:sz w:val="22"/>
          <w:szCs w:val="22"/>
        </w:rPr>
        <w:t xml:space="preserve">9. Testing &amp; Verification</w:t>
      </w:r>
      <w:r>
        <w:rPr>
          <w:sz w:val="22"/>
          <w:szCs w:val="22"/>
        </w:rPr>
        <w:t xml:space="preserve">	9</w:t>
      </w:r>
    </w:p>
    <w:p>
      <w:pPr>
        <w:tabs>
          <w:tab w:val="right" w:pos="9360" w:leader="dot"/>
        </w:tabs>
        <w:spacing w:after="140"/>
      </w:pPr>
      <w:r>
        <w:rPr>
          <w:sz w:val="22"/>
          <w:szCs w:val="22"/>
        </w:rPr>
        <w:t xml:space="preserve">10. Assumptions</w:t>
      </w:r>
      <w:r>
        <w:rPr>
          <w:sz w:val="22"/>
          <w:szCs w:val="22"/>
        </w:rPr>
        <w:t xml:space="preserve">	11</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1. Introduction</w:t>
      </w:r>
    </w:p>
    <w:p>
      <w:pPr>
        <w:spacing w:after="160"/>
      </w:pPr>
      <w:r>
        <w:t xml:space="preserve">QuakeNet is a wide-area network designed to connect seven functional units of a national earthquake early-warning and emergency-response system: the National Emergency Operation Center (NEOC), Seismic Monitoring Station (SMS), Fire &amp; Rescue Headquarters (FRH), Medical Emergency Center (MEC), Urban Search &amp; Rescue Camp (USR), Communication Relay Center (CRC), and Mountain Observation Post (MOP).</w:t>
      </w:r>
    </w:p>
    <w:p>
      <w:pPr>
        <w:spacing w:after="160"/>
      </w:pPr>
      <w:r>
        <w:t xml:space="preserve">The network was designed and built in Cisco Packet Tracer, and combines a redundant "warning loop" between the three most time-critical sites (NEOC, SMS, FRH) with a shared backbone switch, direct point-to-point links, VLSM-based IP addressing, RIPv2 with static-route redistribution, floating and recursive static backup routes, DHCP delivered through both router-based and server-based methods, and per-unit email/web/DNS services.</w:t>
      </w:r>
    </w:p>
    <w:p>
      <w:pPr>
        <w:spacing w:after="160"/>
      </w:pPr>
      <w:r>
        <w:t xml:space="preserve">This report documents the design decisions, addressing scheme, full device configuration, and verification steps carried out to build and test the network.</w:t>
      </w:r>
    </w:p>
    <w:p>
      <w:pPr>
        <w:pStyle w:val="Heading1"/>
        <w:spacing w:after="200" w:before="400"/>
      </w:pPr>
      <w:r>
        <w:t xml:space="preserve">2. Network Topology</w:t>
      </w:r>
    </w:p>
    <w:p>
      <w:pPr>
        <w:spacing w:after="160"/>
      </w:pPr>
      <w:r>
        <w:t xml:space="preserve">Every unit is represented by one router, with its own LAN switch, two PCs, one network printer, and one server. Four units — NEOC, FRH, MEC, and CRC — additionally connect to a shared Central Switch, forming a backbone. Three further link types create the rest of the topology:</w:t>
      </w:r>
    </w:p>
    <w:p>
      <w:pPr>
        <w:pStyle w:val="ListParagraph"/>
        <w:numPr>
          <w:ilvl w:val="0"/>
          <w:numId w:val="1"/>
        </w:numPr>
        <w:spacing w:after="80"/>
      </w:pPr>
      <w:r>
        <w:t xml:space="preserve">Warning loop: three direct point-to-point links forming a triangle between NEOC, SMS, and FRH, layered on top of the shared switch connections NEOC and FRH already have — deliberate redundancy for the most time-critical alerting path.</w:t>
      </w:r>
    </w:p>
    <w:p>
      <w:pPr>
        <w:pStyle w:val="ListParagraph"/>
        <w:numPr>
          <w:ilvl w:val="0"/>
          <w:numId w:val="1"/>
        </w:numPr>
        <w:spacing w:after="80"/>
      </w:pPr>
      <w:r>
        <w:t xml:space="preserve">Direct fibre link: a dedicated point-to-point connection between NEOC and MEC, in addition to both already sharing the Central Switch.</w:t>
      </w:r>
    </w:p>
    <w:p>
      <w:pPr>
        <w:pStyle w:val="ListParagraph"/>
        <w:numPr>
          <w:ilvl w:val="0"/>
          <w:numId w:val="1"/>
        </w:numPr>
        <w:spacing w:after="80"/>
      </w:pPr>
      <w:r>
        <w:t xml:space="preserve">Stub links: USR connects only to MEC; MOP connects only to CRC.</w:t>
      </w:r>
    </w:p>
    <w:p>
      <w:pPr>
        <w:spacing w:before="200"/>
        <w:jc w:val="center"/>
      </w:pPr>
      <w:r>
        <w:drawing>
          <wp:inline distT="0" distB="0" distL="0" distR="0">
            <wp:extent cx="4381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248025"/>
                    </a:xfrm>
                    <a:prstGeom prst="rect">
                      <a:avLst/>
                    </a:prstGeom>
                  </pic:spPr>
                </pic:pic>
              </a:graphicData>
            </a:graphic>
          </wp:inline>
        </w:drawing>
      </w:r>
    </w:p>
    <w:p>
      <w:pPr>
        <w:spacing w:after="300" w:before="80"/>
        <w:jc w:val="center"/>
      </w:pPr>
      <w:r>
        <w:rPr>
          <w:i/>
          <w:iCs/>
          <w:color w:val="555555"/>
          <w:sz w:val="18"/>
          <w:szCs w:val="18"/>
        </w:rPr>
        <w:t xml:space="preserve">Figure 1 — QuakeNet network topology as built in Cisco Packet Tracer, with every device and subnet label as they appear on the live canvas.</w:t>
      </w:r>
    </w:p>
    <w:p>
      <w:pPr>
        <w:spacing w:after="160"/>
      </w:pPr>
      <w:r>
        <w:t xml:space="preserve">Assumption: the spec describes the NEOC–MEC link as "direct fibre." It is implemented as a serial point-to-point link for consistency with the router hardware used across the rest of the design (Cisco 2911 routers with HWIC-2T serial modules) — no requirement is changed by this choice, only the simulated Layer-1 medium.</w:t>
      </w:r>
    </w:p>
    <w:p>
      <w:pPr>
        <w:pStyle w:val="Heading1"/>
        <w:spacing w:after="200" w:before="400"/>
      </w:pPr>
      <w:r>
        <w:t xml:space="preserve">3. IP Addressing Scheme</w:t>
      </w:r>
    </w:p>
    <w:p>
      <w:pPr>
        <w:pStyle w:val="Heading2"/>
        <w:spacing w:after="150" w:before="300"/>
      </w:pPr>
      <w:r>
        <w:t xml:space="preserve">3.1 Base network and key calculations</w:t>
      </w:r>
    </w:p>
    <w:p>
      <w:pPr>
        <w:spacing w:after="160"/>
      </w:pPr>
      <w:r>
        <w:t xml:space="preserve">Base network address, derived from the last group member’s ID (23101135): last four digits 1135 → split into 11 and 35 → 11.35.0.0/16.</w:t>
      </w:r>
    </w:p>
    <w:p>
      <w:pPr>
        <w:spacing w:after="160"/>
      </w:pPr>
      <w:r>
        <w:t xml:space="preserve">Custom Administrative Distance, derived from the first group member’s ID (22299066): digit sum 2+2+2+9+9+0+6+6 = 36, × group size 4 = 144. This value is used for every floating static route in Section 7.</w:t>
      </w:r>
    </w:p>
    <w:p>
      <w:pPr>
        <w:pStyle w:val="Heading2"/>
        <w:spacing w:after="150" w:before="300"/>
      </w:pPr>
      <w:r>
        <w:t xml:space="preserve">3.2 VLSM allocation</w:t>
      </w:r>
    </w:p>
    <w:p>
      <w:pPr>
        <w:spacing w:after="160"/>
      </w:pPr>
      <w:r>
        <w:t xml:space="preserve">Subnets were allocated from 11.35.0.0/16 largest-requirement-first, the standard VLSM procedure: each block is sized to the smallest power of two that satisfies its stated host requirement, and the next block begins immediately after the previous one 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700"/>
        <w:gridCol w:w="1500"/>
        <w:gridCol w:w="3060"/>
        <w:gridCol w:w="1400"/>
      </w:tblGrid>
      <w:tr>
        <w:trPr>
          <w:tblHeader/>
        </w:trPr>
        <w:tc>
          <w:tcPr>
            <w:tcW w:type="dxa" w:w="1800"/>
            <w:shd w:fill="DCE3F7" w:val="clear"/>
            <w:tcMar>
              <w:top w:type="dxa" w:w="60"/>
              <w:left w:type="dxa" w:w="100"/>
              <w:bottom w:type="dxa" w:w="60"/>
              <w:right w:type="dxa" w:w="100"/>
            </w:tcMar>
            <w:vAlign w:val="center"/>
          </w:tcPr>
          <w:p>
            <w:r>
              <w:rPr>
                <w:b/>
                <w:bCs/>
                <w:sz w:val="19"/>
                <w:szCs w:val="19"/>
              </w:rPr>
              <w:t xml:space="preserve">Segment</w:t>
            </w:r>
          </w:p>
        </w:tc>
        <w:tc>
          <w:tcPr>
            <w:tcW w:type="dxa" w:w="900"/>
            <w:shd w:fill="DCE3F7" w:val="clear"/>
            <w:tcMar>
              <w:top w:type="dxa" w:w="60"/>
              <w:left w:type="dxa" w:w="100"/>
              <w:bottom w:type="dxa" w:w="60"/>
              <w:right w:type="dxa" w:w="100"/>
            </w:tcMar>
            <w:vAlign w:val="center"/>
          </w:tcPr>
          <w:p>
            <w:r>
              <w:rPr>
                <w:b/>
                <w:bCs/>
                <w:sz w:val="19"/>
                <w:szCs w:val="19"/>
              </w:rPr>
              <w:t xml:space="preserve">Hosts req.</w:t>
            </w:r>
          </w:p>
        </w:tc>
        <w:tc>
          <w:tcPr>
            <w:tcW w:type="dxa" w:w="700"/>
            <w:shd w:fill="DCE3F7" w:val="clear"/>
            <w:tcMar>
              <w:top w:type="dxa" w:w="60"/>
              <w:left w:type="dxa" w:w="100"/>
              <w:bottom w:type="dxa" w:w="60"/>
              <w:right w:type="dxa" w:w="100"/>
            </w:tcMar>
            <w:vAlign w:val="center"/>
          </w:tcPr>
          <w:p>
            <w:r>
              <w:rPr>
                <w:b/>
                <w:bCs/>
                <w:sz w:val="19"/>
                <w:szCs w:val="19"/>
              </w:rPr>
              <w:t xml:space="preserve">Prefix</w:t>
            </w:r>
          </w:p>
        </w:tc>
        <w:tc>
          <w:tcPr>
            <w:tcW w:type="dxa" w:w="1500"/>
            <w:shd w:fill="DCE3F7" w:val="clear"/>
            <w:tcMar>
              <w:top w:type="dxa" w:w="60"/>
              <w:left w:type="dxa" w:w="100"/>
              <w:bottom w:type="dxa" w:w="60"/>
              <w:right w:type="dxa" w:w="100"/>
            </w:tcMar>
            <w:vAlign w:val="center"/>
          </w:tcPr>
          <w:p>
            <w:r>
              <w:rPr>
                <w:b/>
                <w:bCs/>
                <w:sz w:val="19"/>
                <w:szCs w:val="19"/>
              </w:rPr>
              <w:t xml:space="preserve">Network</w:t>
            </w:r>
          </w:p>
        </w:tc>
        <w:tc>
          <w:tcPr>
            <w:tcW w:type="dxa" w:w="3060"/>
            <w:shd w:fill="DCE3F7" w:val="clear"/>
            <w:tcMar>
              <w:top w:type="dxa" w:w="60"/>
              <w:left w:type="dxa" w:w="100"/>
              <w:bottom w:type="dxa" w:w="60"/>
              <w:right w:type="dxa" w:w="100"/>
            </w:tcMar>
            <w:vAlign w:val="center"/>
          </w:tcPr>
          <w:p>
            <w:r>
              <w:rPr>
                <w:b/>
                <w:bCs/>
                <w:sz w:val="19"/>
                <w:szCs w:val="19"/>
              </w:rPr>
              <w:t xml:space="preserve">Usable range</w:t>
            </w:r>
          </w:p>
        </w:tc>
        <w:tc>
          <w:tcPr>
            <w:tcW w:type="dxa" w:w="1400"/>
            <w:shd w:fill="DCE3F7" w:val="clear"/>
            <w:tcMar>
              <w:top w:type="dxa" w:w="60"/>
              <w:left w:type="dxa" w:w="100"/>
              <w:bottom w:type="dxa" w:w="60"/>
              <w:right w:type="dxa" w:w="100"/>
            </w:tcMar>
            <w:vAlign w:val="center"/>
          </w:tcPr>
          <w:p>
            <w:r>
              <w:rPr>
                <w:b/>
                <w:bCs/>
                <w:sz w:val="19"/>
                <w:szCs w:val="19"/>
              </w:rPr>
              <w:t xml:space="preserve">Broadcast</w:t>
            </w:r>
          </w:p>
        </w:tc>
      </w:tr>
      <w:tr>
        <w:tc>
          <w:tcPr>
            <w:tcW w:type="dxa" w:w="1800"/>
            <w:tcMar>
              <w:top w:type="dxa" w:w="60"/>
              <w:left w:type="dxa" w:w="100"/>
              <w:bottom w:type="dxa" w:w="60"/>
              <w:right w:type="dxa" w:w="100"/>
            </w:tcMar>
            <w:vAlign w:val="center"/>
          </w:tcPr>
          <w:p>
            <w:r>
              <w:rPr>
                <w:b w:val="false"/>
                <w:bCs w:val="false"/>
                <w:sz w:val="19"/>
                <w:szCs w:val="19"/>
              </w:rPr>
              <w:t xml:space="preserve">NEOC-LAN</w:t>
            </w:r>
          </w:p>
        </w:tc>
        <w:tc>
          <w:tcPr>
            <w:tcW w:type="dxa" w:w="900"/>
            <w:tcMar>
              <w:top w:type="dxa" w:w="60"/>
              <w:left w:type="dxa" w:w="100"/>
              <w:bottom w:type="dxa" w:w="60"/>
              <w:right w:type="dxa" w:w="100"/>
            </w:tcMar>
            <w:vAlign w:val="center"/>
          </w:tcPr>
          <w:p>
            <w:r>
              <w:rPr>
                <w:b w:val="false"/>
                <w:bCs w:val="false"/>
                <w:sz w:val="19"/>
                <w:szCs w:val="19"/>
              </w:rPr>
              <w:t xml:space="preserve">5000</w:t>
            </w:r>
          </w:p>
        </w:tc>
        <w:tc>
          <w:tcPr>
            <w:tcW w:type="dxa" w:w="700"/>
            <w:tcMar>
              <w:top w:type="dxa" w:w="60"/>
              <w:left w:type="dxa" w:w="100"/>
              <w:bottom w:type="dxa" w:w="60"/>
              <w:right w:type="dxa" w:w="100"/>
            </w:tcMar>
            <w:vAlign w:val="center"/>
          </w:tcPr>
          <w:p>
            <w:r>
              <w:rPr>
                <w:b w:val="false"/>
                <w:bCs w:val="false"/>
                <w:sz w:val="19"/>
                <w:szCs w:val="19"/>
              </w:rPr>
              <w:t xml:space="preserve">/19</w:t>
            </w:r>
          </w:p>
        </w:tc>
        <w:tc>
          <w:tcPr>
            <w:tcW w:type="dxa" w:w="1500"/>
            <w:tcMar>
              <w:top w:type="dxa" w:w="60"/>
              <w:left w:type="dxa" w:w="100"/>
              <w:bottom w:type="dxa" w:w="60"/>
              <w:right w:type="dxa" w:w="100"/>
            </w:tcMar>
            <w:vAlign w:val="center"/>
          </w:tcPr>
          <w:p>
            <w:r>
              <w:rPr>
                <w:b w:val="false"/>
                <w:bCs w:val="false"/>
                <w:sz w:val="19"/>
                <w:szCs w:val="19"/>
              </w:rPr>
              <w:t xml:space="preserve">11.35.0.0</w:t>
            </w:r>
          </w:p>
        </w:tc>
        <w:tc>
          <w:tcPr>
            <w:tcW w:type="dxa" w:w="3060"/>
            <w:tcMar>
              <w:top w:type="dxa" w:w="60"/>
              <w:left w:type="dxa" w:w="100"/>
              <w:bottom w:type="dxa" w:w="60"/>
              <w:right w:type="dxa" w:w="100"/>
            </w:tcMar>
            <w:vAlign w:val="center"/>
          </w:tcPr>
          <w:p>
            <w:r>
              <w:rPr>
                <w:b w:val="false"/>
                <w:bCs w:val="false"/>
                <w:sz w:val="19"/>
                <w:szCs w:val="19"/>
              </w:rPr>
              <w:t xml:space="preserve">11.35.0.1 – 11.35.31.254</w:t>
            </w:r>
          </w:p>
        </w:tc>
        <w:tc>
          <w:tcPr>
            <w:tcW w:type="dxa" w:w="1400"/>
            <w:tcMar>
              <w:top w:type="dxa" w:w="60"/>
              <w:left w:type="dxa" w:w="100"/>
              <w:bottom w:type="dxa" w:w="60"/>
              <w:right w:type="dxa" w:w="100"/>
            </w:tcMar>
            <w:vAlign w:val="center"/>
          </w:tcPr>
          <w:p>
            <w:r>
              <w:rPr>
                <w:b w:val="false"/>
                <w:bCs w:val="false"/>
                <w:sz w:val="19"/>
                <w:szCs w:val="19"/>
              </w:rPr>
              <w:t xml:space="preserve">11.35.31.255</w:t>
            </w:r>
          </w:p>
        </w:tc>
      </w:tr>
      <w:tr>
        <w:tc>
          <w:tcPr>
            <w:tcW w:type="dxa" w:w="1800"/>
            <w:tcMar>
              <w:top w:type="dxa" w:w="60"/>
              <w:left w:type="dxa" w:w="100"/>
              <w:bottom w:type="dxa" w:w="60"/>
              <w:right w:type="dxa" w:w="100"/>
            </w:tcMar>
            <w:vAlign w:val="center"/>
          </w:tcPr>
          <w:p>
            <w:r>
              <w:rPr>
                <w:b w:val="false"/>
                <w:bCs w:val="false"/>
                <w:sz w:val="19"/>
                <w:szCs w:val="19"/>
              </w:rPr>
              <w:t xml:space="preserve">USR-LAN</w:t>
            </w:r>
          </w:p>
        </w:tc>
        <w:tc>
          <w:tcPr>
            <w:tcW w:type="dxa" w:w="900"/>
            <w:tcMar>
              <w:top w:type="dxa" w:w="60"/>
              <w:left w:type="dxa" w:w="100"/>
              <w:bottom w:type="dxa" w:w="60"/>
              <w:right w:type="dxa" w:w="100"/>
            </w:tcMar>
            <w:vAlign w:val="center"/>
          </w:tcPr>
          <w:p>
            <w:r>
              <w:rPr>
                <w:b w:val="false"/>
                <w:bCs w:val="false"/>
                <w:sz w:val="19"/>
                <w:szCs w:val="19"/>
              </w:rPr>
              <w:t xml:space="preserve">1040</w:t>
            </w:r>
          </w:p>
        </w:tc>
        <w:tc>
          <w:tcPr>
            <w:tcW w:type="dxa" w:w="700"/>
            <w:tcMar>
              <w:top w:type="dxa" w:w="60"/>
              <w:left w:type="dxa" w:w="100"/>
              <w:bottom w:type="dxa" w:w="60"/>
              <w:right w:type="dxa" w:w="100"/>
            </w:tcMar>
            <w:vAlign w:val="center"/>
          </w:tcPr>
          <w:p>
            <w:r>
              <w:rPr>
                <w:b w:val="false"/>
                <w:bCs w:val="false"/>
                <w:sz w:val="19"/>
                <w:szCs w:val="19"/>
              </w:rPr>
              <w:t xml:space="preserve">/21</w:t>
            </w:r>
          </w:p>
        </w:tc>
        <w:tc>
          <w:tcPr>
            <w:tcW w:type="dxa" w:w="1500"/>
            <w:tcMar>
              <w:top w:type="dxa" w:w="60"/>
              <w:left w:type="dxa" w:w="100"/>
              <w:bottom w:type="dxa" w:w="60"/>
              <w:right w:type="dxa" w:w="100"/>
            </w:tcMar>
            <w:vAlign w:val="center"/>
          </w:tcPr>
          <w:p>
            <w:r>
              <w:rPr>
                <w:b w:val="false"/>
                <w:bCs w:val="false"/>
                <w:sz w:val="19"/>
                <w:szCs w:val="19"/>
              </w:rPr>
              <w:t xml:space="preserve">11.35.32.0</w:t>
            </w:r>
          </w:p>
        </w:tc>
        <w:tc>
          <w:tcPr>
            <w:tcW w:type="dxa" w:w="3060"/>
            <w:tcMar>
              <w:top w:type="dxa" w:w="60"/>
              <w:left w:type="dxa" w:w="100"/>
              <w:bottom w:type="dxa" w:w="60"/>
              <w:right w:type="dxa" w:w="100"/>
            </w:tcMar>
            <w:vAlign w:val="center"/>
          </w:tcPr>
          <w:p>
            <w:r>
              <w:rPr>
                <w:b w:val="false"/>
                <w:bCs w:val="false"/>
                <w:sz w:val="19"/>
                <w:szCs w:val="19"/>
              </w:rPr>
              <w:t xml:space="preserve">11.35.32.1 – 11.35.39.254</w:t>
            </w:r>
          </w:p>
        </w:tc>
        <w:tc>
          <w:tcPr>
            <w:tcW w:type="dxa" w:w="1400"/>
            <w:tcMar>
              <w:top w:type="dxa" w:w="60"/>
              <w:left w:type="dxa" w:w="100"/>
              <w:bottom w:type="dxa" w:w="60"/>
              <w:right w:type="dxa" w:w="100"/>
            </w:tcMar>
            <w:vAlign w:val="center"/>
          </w:tcPr>
          <w:p>
            <w:r>
              <w:rPr>
                <w:b w:val="false"/>
                <w:bCs w:val="false"/>
                <w:sz w:val="19"/>
                <w:szCs w:val="19"/>
              </w:rPr>
              <w:t xml:space="preserve">11.35.39.255</w:t>
            </w:r>
          </w:p>
        </w:tc>
      </w:tr>
      <w:tr>
        <w:tc>
          <w:tcPr>
            <w:tcW w:type="dxa" w:w="1800"/>
            <w:tcMar>
              <w:top w:type="dxa" w:w="60"/>
              <w:left w:type="dxa" w:w="100"/>
              <w:bottom w:type="dxa" w:w="60"/>
              <w:right w:type="dxa" w:w="100"/>
            </w:tcMar>
            <w:vAlign w:val="center"/>
          </w:tcPr>
          <w:p>
            <w:r>
              <w:rPr>
                <w:b w:val="false"/>
                <w:bCs w:val="false"/>
                <w:sz w:val="19"/>
                <w:szCs w:val="19"/>
              </w:rPr>
              <w:t xml:space="preserve">MEC-LAN</w:t>
            </w:r>
          </w:p>
        </w:tc>
        <w:tc>
          <w:tcPr>
            <w:tcW w:type="dxa" w:w="900"/>
            <w:tcMar>
              <w:top w:type="dxa" w:w="60"/>
              <w:left w:type="dxa" w:w="100"/>
              <w:bottom w:type="dxa" w:w="60"/>
              <w:right w:type="dxa" w:w="100"/>
            </w:tcMar>
            <w:vAlign w:val="center"/>
          </w:tcPr>
          <w:p>
            <w:r>
              <w:rPr>
                <w:b w:val="false"/>
                <w:bCs w:val="false"/>
                <w:sz w:val="19"/>
                <w:szCs w:val="19"/>
              </w:rPr>
              <w:t xml:space="preserve">500</w:t>
            </w:r>
          </w:p>
        </w:tc>
        <w:tc>
          <w:tcPr>
            <w:tcW w:type="dxa" w:w="700"/>
            <w:tcMar>
              <w:top w:type="dxa" w:w="60"/>
              <w:left w:type="dxa" w:w="100"/>
              <w:bottom w:type="dxa" w:w="60"/>
              <w:right w:type="dxa" w:w="100"/>
            </w:tcMar>
            <w:vAlign w:val="center"/>
          </w:tcPr>
          <w:p>
            <w:r>
              <w:rPr>
                <w:b w:val="false"/>
                <w:bCs w:val="false"/>
                <w:sz w:val="19"/>
                <w:szCs w:val="19"/>
              </w:rPr>
              <w:t xml:space="preserve">/23</w:t>
            </w:r>
          </w:p>
        </w:tc>
        <w:tc>
          <w:tcPr>
            <w:tcW w:type="dxa" w:w="1500"/>
            <w:tcMar>
              <w:top w:type="dxa" w:w="60"/>
              <w:left w:type="dxa" w:w="100"/>
              <w:bottom w:type="dxa" w:w="60"/>
              <w:right w:type="dxa" w:w="100"/>
            </w:tcMar>
            <w:vAlign w:val="center"/>
          </w:tcPr>
          <w:p>
            <w:r>
              <w:rPr>
                <w:b w:val="false"/>
                <w:bCs w:val="false"/>
                <w:sz w:val="19"/>
                <w:szCs w:val="19"/>
              </w:rPr>
              <w:t xml:space="preserve">11.35.40.0</w:t>
            </w:r>
          </w:p>
        </w:tc>
        <w:tc>
          <w:tcPr>
            <w:tcW w:type="dxa" w:w="3060"/>
            <w:tcMar>
              <w:top w:type="dxa" w:w="60"/>
              <w:left w:type="dxa" w:w="100"/>
              <w:bottom w:type="dxa" w:w="60"/>
              <w:right w:type="dxa" w:w="100"/>
            </w:tcMar>
            <w:vAlign w:val="center"/>
          </w:tcPr>
          <w:p>
            <w:r>
              <w:rPr>
                <w:b w:val="false"/>
                <w:bCs w:val="false"/>
                <w:sz w:val="19"/>
                <w:szCs w:val="19"/>
              </w:rPr>
              <w:t xml:space="preserve">11.35.40.1 – 11.35.41.254</w:t>
            </w:r>
          </w:p>
        </w:tc>
        <w:tc>
          <w:tcPr>
            <w:tcW w:type="dxa" w:w="1400"/>
            <w:tcMar>
              <w:top w:type="dxa" w:w="60"/>
              <w:left w:type="dxa" w:w="100"/>
              <w:bottom w:type="dxa" w:w="60"/>
              <w:right w:type="dxa" w:w="100"/>
            </w:tcMar>
            <w:vAlign w:val="center"/>
          </w:tcPr>
          <w:p>
            <w:r>
              <w:rPr>
                <w:b w:val="false"/>
                <w:bCs w:val="false"/>
                <w:sz w:val="19"/>
                <w:szCs w:val="19"/>
              </w:rPr>
              <w:t xml:space="preserve">11.35.41.255</w:t>
            </w:r>
          </w:p>
        </w:tc>
      </w:tr>
      <w:tr>
        <w:tc>
          <w:tcPr>
            <w:tcW w:type="dxa" w:w="1800"/>
            <w:tcMar>
              <w:top w:type="dxa" w:w="60"/>
              <w:left w:type="dxa" w:w="100"/>
              <w:bottom w:type="dxa" w:w="60"/>
              <w:right w:type="dxa" w:w="100"/>
            </w:tcMar>
            <w:vAlign w:val="center"/>
          </w:tcPr>
          <w:p>
            <w:r>
              <w:rPr>
                <w:b w:val="false"/>
                <w:bCs w:val="false"/>
                <w:sz w:val="19"/>
                <w:szCs w:val="19"/>
              </w:rPr>
              <w:t xml:space="preserve">FRH-LAN</w:t>
            </w:r>
          </w:p>
        </w:tc>
        <w:tc>
          <w:tcPr>
            <w:tcW w:type="dxa" w:w="900"/>
            <w:tcMar>
              <w:top w:type="dxa" w:w="60"/>
              <w:left w:type="dxa" w:w="100"/>
              <w:bottom w:type="dxa" w:w="60"/>
              <w:right w:type="dxa" w:w="100"/>
            </w:tcMar>
            <w:vAlign w:val="center"/>
          </w:tcPr>
          <w:p>
            <w:r>
              <w:rPr>
                <w:b w:val="false"/>
                <w:bCs w:val="false"/>
                <w:sz w:val="19"/>
                <w:szCs w:val="19"/>
              </w:rPr>
              <w:t xml:space="preserve">320</w:t>
            </w:r>
          </w:p>
        </w:tc>
        <w:tc>
          <w:tcPr>
            <w:tcW w:type="dxa" w:w="700"/>
            <w:tcMar>
              <w:top w:type="dxa" w:w="60"/>
              <w:left w:type="dxa" w:w="100"/>
              <w:bottom w:type="dxa" w:w="60"/>
              <w:right w:type="dxa" w:w="100"/>
            </w:tcMar>
            <w:vAlign w:val="center"/>
          </w:tcPr>
          <w:p>
            <w:r>
              <w:rPr>
                <w:b w:val="false"/>
                <w:bCs w:val="false"/>
                <w:sz w:val="19"/>
                <w:szCs w:val="19"/>
              </w:rPr>
              <w:t xml:space="preserve">/23</w:t>
            </w:r>
          </w:p>
        </w:tc>
        <w:tc>
          <w:tcPr>
            <w:tcW w:type="dxa" w:w="1500"/>
            <w:tcMar>
              <w:top w:type="dxa" w:w="60"/>
              <w:left w:type="dxa" w:w="100"/>
              <w:bottom w:type="dxa" w:w="60"/>
              <w:right w:type="dxa" w:w="100"/>
            </w:tcMar>
            <w:vAlign w:val="center"/>
          </w:tcPr>
          <w:p>
            <w:r>
              <w:rPr>
                <w:b w:val="false"/>
                <w:bCs w:val="false"/>
                <w:sz w:val="19"/>
                <w:szCs w:val="19"/>
              </w:rPr>
              <w:t xml:space="preserve">11.35.42.0</w:t>
            </w:r>
          </w:p>
        </w:tc>
        <w:tc>
          <w:tcPr>
            <w:tcW w:type="dxa" w:w="3060"/>
            <w:tcMar>
              <w:top w:type="dxa" w:w="60"/>
              <w:left w:type="dxa" w:w="100"/>
              <w:bottom w:type="dxa" w:w="60"/>
              <w:right w:type="dxa" w:w="100"/>
            </w:tcMar>
            <w:vAlign w:val="center"/>
          </w:tcPr>
          <w:p>
            <w:r>
              <w:rPr>
                <w:b w:val="false"/>
                <w:bCs w:val="false"/>
                <w:sz w:val="19"/>
                <w:szCs w:val="19"/>
              </w:rPr>
              <w:t xml:space="preserve">11.35.42.1 – 11.35.43.254</w:t>
            </w:r>
          </w:p>
        </w:tc>
        <w:tc>
          <w:tcPr>
            <w:tcW w:type="dxa" w:w="1400"/>
            <w:tcMar>
              <w:top w:type="dxa" w:w="60"/>
              <w:left w:type="dxa" w:w="100"/>
              <w:bottom w:type="dxa" w:w="60"/>
              <w:right w:type="dxa" w:w="100"/>
            </w:tcMar>
            <w:vAlign w:val="center"/>
          </w:tcPr>
          <w:p>
            <w:r>
              <w:rPr>
                <w:b w:val="false"/>
                <w:bCs w:val="false"/>
                <w:sz w:val="19"/>
                <w:szCs w:val="19"/>
              </w:rPr>
              <w:t xml:space="preserve">11.35.43.255</w:t>
            </w:r>
          </w:p>
        </w:tc>
      </w:tr>
      <w:tr>
        <w:tc>
          <w:tcPr>
            <w:tcW w:type="dxa" w:w="1800"/>
            <w:tcMar>
              <w:top w:type="dxa" w:w="60"/>
              <w:left w:type="dxa" w:w="100"/>
              <w:bottom w:type="dxa" w:w="60"/>
              <w:right w:type="dxa" w:w="100"/>
            </w:tcMar>
            <w:vAlign w:val="center"/>
          </w:tcPr>
          <w:p>
            <w:r>
              <w:rPr>
                <w:b w:val="false"/>
                <w:bCs w:val="false"/>
                <w:sz w:val="19"/>
                <w:szCs w:val="19"/>
              </w:rPr>
              <w:t xml:space="preserve">SMS-LAN</w:t>
            </w:r>
          </w:p>
        </w:tc>
        <w:tc>
          <w:tcPr>
            <w:tcW w:type="dxa" w:w="900"/>
            <w:tcMar>
              <w:top w:type="dxa" w:w="60"/>
              <w:left w:type="dxa" w:w="100"/>
              <w:bottom w:type="dxa" w:w="60"/>
              <w:right w:type="dxa" w:w="100"/>
            </w:tcMar>
            <w:vAlign w:val="center"/>
          </w:tcPr>
          <w:p>
            <w:r>
              <w:rPr>
                <w:b w:val="false"/>
                <w:bCs w:val="false"/>
                <w:sz w:val="19"/>
                <w:szCs w:val="19"/>
              </w:rPr>
              <w:t xml:space="preserve">180</w:t>
            </w:r>
          </w:p>
        </w:tc>
        <w:tc>
          <w:tcPr>
            <w:tcW w:type="dxa" w:w="700"/>
            <w:tcMar>
              <w:top w:type="dxa" w:w="60"/>
              <w:left w:type="dxa" w:w="100"/>
              <w:bottom w:type="dxa" w:w="60"/>
              <w:right w:type="dxa" w:w="100"/>
            </w:tcMar>
            <w:vAlign w:val="center"/>
          </w:tcPr>
          <w:p>
            <w:r>
              <w:rPr>
                <w:b w:val="false"/>
                <w:bCs w:val="false"/>
                <w:sz w:val="19"/>
                <w:szCs w:val="19"/>
              </w:rPr>
              <w:t xml:space="preserve">/24</w:t>
            </w:r>
          </w:p>
        </w:tc>
        <w:tc>
          <w:tcPr>
            <w:tcW w:type="dxa" w:w="1500"/>
            <w:tcMar>
              <w:top w:type="dxa" w:w="60"/>
              <w:left w:type="dxa" w:w="100"/>
              <w:bottom w:type="dxa" w:w="60"/>
              <w:right w:type="dxa" w:w="100"/>
            </w:tcMar>
            <w:vAlign w:val="center"/>
          </w:tcPr>
          <w:p>
            <w:r>
              <w:rPr>
                <w:b w:val="false"/>
                <w:bCs w:val="false"/>
                <w:sz w:val="19"/>
                <w:szCs w:val="19"/>
              </w:rPr>
              <w:t xml:space="preserve">11.35.44.0</w:t>
            </w:r>
          </w:p>
        </w:tc>
        <w:tc>
          <w:tcPr>
            <w:tcW w:type="dxa" w:w="3060"/>
            <w:tcMar>
              <w:top w:type="dxa" w:w="60"/>
              <w:left w:type="dxa" w:w="100"/>
              <w:bottom w:type="dxa" w:w="60"/>
              <w:right w:type="dxa" w:w="100"/>
            </w:tcMar>
            <w:vAlign w:val="center"/>
          </w:tcPr>
          <w:p>
            <w:r>
              <w:rPr>
                <w:b w:val="false"/>
                <w:bCs w:val="false"/>
                <w:sz w:val="19"/>
                <w:szCs w:val="19"/>
              </w:rPr>
              <w:t xml:space="preserve">11.35.44.1 – 11.35.44.254</w:t>
            </w:r>
          </w:p>
        </w:tc>
        <w:tc>
          <w:tcPr>
            <w:tcW w:type="dxa" w:w="1400"/>
            <w:tcMar>
              <w:top w:type="dxa" w:w="60"/>
              <w:left w:type="dxa" w:w="100"/>
              <w:bottom w:type="dxa" w:w="60"/>
              <w:right w:type="dxa" w:w="100"/>
            </w:tcMar>
            <w:vAlign w:val="center"/>
          </w:tcPr>
          <w:p>
            <w:r>
              <w:rPr>
                <w:b w:val="false"/>
                <w:bCs w:val="false"/>
                <w:sz w:val="19"/>
                <w:szCs w:val="19"/>
              </w:rPr>
              <w:t xml:space="preserve">11.35.44.255</w:t>
            </w:r>
          </w:p>
        </w:tc>
      </w:tr>
      <w:tr>
        <w:tc>
          <w:tcPr>
            <w:tcW w:type="dxa" w:w="1800"/>
            <w:tcMar>
              <w:top w:type="dxa" w:w="60"/>
              <w:left w:type="dxa" w:w="100"/>
              <w:bottom w:type="dxa" w:w="60"/>
              <w:right w:type="dxa" w:w="100"/>
            </w:tcMar>
            <w:vAlign w:val="center"/>
          </w:tcPr>
          <w:p>
            <w:r>
              <w:rPr>
                <w:b w:val="false"/>
                <w:bCs w:val="false"/>
                <w:sz w:val="19"/>
                <w:szCs w:val="19"/>
              </w:rPr>
              <w:t xml:space="preserve">CRC-LAN</w:t>
            </w:r>
          </w:p>
        </w:tc>
        <w:tc>
          <w:tcPr>
            <w:tcW w:type="dxa" w:w="900"/>
            <w:tcMar>
              <w:top w:type="dxa" w:w="60"/>
              <w:left w:type="dxa" w:w="100"/>
              <w:bottom w:type="dxa" w:w="60"/>
              <w:right w:type="dxa" w:w="100"/>
            </w:tcMar>
            <w:vAlign w:val="center"/>
          </w:tcPr>
          <w:p>
            <w:r>
              <w:rPr>
                <w:b w:val="false"/>
                <w:bCs w:val="false"/>
                <w:sz w:val="19"/>
                <w:szCs w:val="19"/>
              </w:rPr>
              <w:t xml:space="preserve">100</w:t>
            </w:r>
          </w:p>
        </w:tc>
        <w:tc>
          <w:tcPr>
            <w:tcW w:type="dxa" w:w="700"/>
            <w:tcMar>
              <w:top w:type="dxa" w:w="60"/>
              <w:left w:type="dxa" w:w="100"/>
              <w:bottom w:type="dxa" w:w="60"/>
              <w:right w:type="dxa" w:w="100"/>
            </w:tcMar>
            <w:vAlign w:val="center"/>
          </w:tcPr>
          <w:p>
            <w:r>
              <w:rPr>
                <w:b w:val="false"/>
                <w:bCs w:val="false"/>
                <w:sz w:val="19"/>
                <w:szCs w:val="19"/>
              </w:rPr>
              <w:t xml:space="preserve">/25</w:t>
            </w:r>
          </w:p>
        </w:tc>
        <w:tc>
          <w:tcPr>
            <w:tcW w:type="dxa" w:w="1500"/>
            <w:tcMar>
              <w:top w:type="dxa" w:w="60"/>
              <w:left w:type="dxa" w:w="100"/>
              <w:bottom w:type="dxa" w:w="60"/>
              <w:right w:type="dxa" w:w="100"/>
            </w:tcMar>
            <w:vAlign w:val="center"/>
          </w:tcPr>
          <w:p>
            <w:r>
              <w:rPr>
                <w:b w:val="false"/>
                <w:bCs w:val="false"/>
                <w:sz w:val="19"/>
                <w:szCs w:val="19"/>
              </w:rPr>
              <w:t xml:space="preserve">11.35.45.0</w:t>
            </w:r>
          </w:p>
        </w:tc>
        <w:tc>
          <w:tcPr>
            <w:tcW w:type="dxa" w:w="3060"/>
            <w:tcMar>
              <w:top w:type="dxa" w:w="60"/>
              <w:left w:type="dxa" w:w="100"/>
              <w:bottom w:type="dxa" w:w="60"/>
              <w:right w:type="dxa" w:w="100"/>
            </w:tcMar>
            <w:vAlign w:val="center"/>
          </w:tcPr>
          <w:p>
            <w:r>
              <w:rPr>
                <w:b w:val="false"/>
                <w:bCs w:val="false"/>
                <w:sz w:val="19"/>
                <w:szCs w:val="19"/>
              </w:rPr>
              <w:t xml:space="preserve">11.35.45.1 – 11.35.45.126</w:t>
            </w:r>
          </w:p>
        </w:tc>
        <w:tc>
          <w:tcPr>
            <w:tcW w:type="dxa" w:w="1400"/>
            <w:tcMar>
              <w:top w:type="dxa" w:w="60"/>
              <w:left w:type="dxa" w:w="100"/>
              <w:bottom w:type="dxa" w:w="60"/>
              <w:right w:type="dxa" w:w="100"/>
            </w:tcMar>
            <w:vAlign w:val="center"/>
          </w:tcPr>
          <w:p>
            <w:r>
              <w:rPr>
                <w:b w:val="false"/>
                <w:bCs w:val="false"/>
                <w:sz w:val="19"/>
                <w:szCs w:val="19"/>
              </w:rPr>
              <w:t xml:space="preserve">11.35.45.127</w:t>
            </w:r>
          </w:p>
        </w:tc>
      </w:tr>
      <w:tr>
        <w:tc>
          <w:tcPr>
            <w:tcW w:type="dxa" w:w="1800"/>
            <w:tcMar>
              <w:top w:type="dxa" w:w="60"/>
              <w:left w:type="dxa" w:w="100"/>
              <w:bottom w:type="dxa" w:w="60"/>
              <w:right w:type="dxa" w:w="100"/>
            </w:tcMar>
            <w:vAlign w:val="center"/>
          </w:tcPr>
          <w:p>
            <w:r>
              <w:rPr>
                <w:b w:val="false"/>
                <w:bCs w:val="false"/>
                <w:sz w:val="19"/>
                <w:szCs w:val="19"/>
              </w:rPr>
              <w:t xml:space="preserve">MOP-LAN</w:t>
            </w:r>
          </w:p>
        </w:tc>
        <w:tc>
          <w:tcPr>
            <w:tcW w:type="dxa" w:w="900"/>
            <w:tcMar>
              <w:top w:type="dxa" w:w="60"/>
              <w:left w:type="dxa" w:w="100"/>
              <w:bottom w:type="dxa" w:w="60"/>
              <w:right w:type="dxa" w:w="100"/>
            </w:tcMar>
            <w:vAlign w:val="center"/>
          </w:tcPr>
          <w:p>
            <w:r>
              <w:rPr>
                <w:b w:val="false"/>
                <w:bCs w:val="false"/>
                <w:sz w:val="19"/>
                <w:szCs w:val="19"/>
              </w:rPr>
              <w:t xml:space="preserve">50</w:t>
            </w:r>
          </w:p>
        </w:tc>
        <w:tc>
          <w:tcPr>
            <w:tcW w:type="dxa" w:w="700"/>
            <w:tcMar>
              <w:top w:type="dxa" w:w="60"/>
              <w:left w:type="dxa" w:w="100"/>
              <w:bottom w:type="dxa" w:w="60"/>
              <w:right w:type="dxa" w:w="100"/>
            </w:tcMar>
            <w:vAlign w:val="center"/>
          </w:tcPr>
          <w:p>
            <w:r>
              <w:rPr>
                <w:b w:val="false"/>
                <w:bCs w:val="false"/>
                <w:sz w:val="19"/>
                <w:szCs w:val="19"/>
              </w:rPr>
              <w:t xml:space="preserve">/26</w:t>
            </w:r>
          </w:p>
        </w:tc>
        <w:tc>
          <w:tcPr>
            <w:tcW w:type="dxa" w:w="1500"/>
            <w:tcMar>
              <w:top w:type="dxa" w:w="60"/>
              <w:left w:type="dxa" w:w="100"/>
              <w:bottom w:type="dxa" w:w="60"/>
              <w:right w:type="dxa" w:w="100"/>
            </w:tcMar>
            <w:vAlign w:val="center"/>
          </w:tcPr>
          <w:p>
            <w:r>
              <w:rPr>
                <w:b w:val="false"/>
                <w:bCs w:val="false"/>
                <w:sz w:val="19"/>
                <w:szCs w:val="19"/>
              </w:rPr>
              <w:t xml:space="preserve">11.35.45.128</w:t>
            </w:r>
          </w:p>
        </w:tc>
        <w:tc>
          <w:tcPr>
            <w:tcW w:type="dxa" w:w="3060"/>
            <w:tcMar>
              <w:top w:type="dxa" w:w="60"/>
              <w:left w:type="dxa" w:w="100"/>
              <w:bottom w:type="dxa" w:w="60"/>
              <w:right w:type="dxa" w:w="100"/>
            </w:tcMar>
            <w:vAlign w:val="center"/>
          </w:tcPr>
          <w:p>
            <w:r>
              <w:rPr>
                <w:b w:val="false"/>
                <w:bCs w:val="false"/>
                <w:sz w:val="19"/>
                <w:szCs w:val="19"/>
              </w:rPr>
              <w:t xml:space="preserve">11.35.45.129 – 11.35.45.190</w:t>
            </w:r>
          </w:p>
        </w:tc>
        <w:tc>
          <w:tcPr>
            <w:tcW w:type="dxa" w:w="1400"/>
            <w:tcMar>
              <w:top w:type="dxa" w:w="60"/>
              <w:left w:type="dxa" w:w="100"/>
              <w:bottom w:type="dxa" w:w="60"/>
              <w:right w:type="dxa" w:w="100"/>
            </w:tcMar>
            <w:vAlign w:val="center"/>
          </w:tcPr>
          <w:p>
            <w:r>
              <w:rPr>
                <w:b w:val="false"/>
                <w:bCs w:val="false"/>
                <w:sz w:val="19"/>
                <w:szCs w:val="19"/>
              </w:rPr>
              <w:t xml:space="preserve">11.35.45.191</w:t>
            </w:r>
          </w:p>
        </w:tc>
      </w:tr>
      <w:tr>
        <w:tc>
          <w:tcPr>
            <w:tcW w:type="dxa" w:w="1800"/>
            <w:tcMar>
              <w:top w:type="dxa" w:w="60"/>
              <w:left w:type="dxa" w:w="100"/>
              <w:bottom w:type="dxa" w:w="60"/>
              <w:right w:type="dxa" w:w="100"/>
            </w:tcMar>
            <w:vAlign w:val="center"/>
          </w:tcPr>
          <w:p>
            <w:r>
              <w:rPr>
                <w:b w:val="false"/>
                <w:bCs w:val="false"/>
                <w:sz w:val="19"/>
                <w:szCs w:val="19"/>
              </w:rPr>
              <w:t xml:space="preserve">Central switch</w:t>
            </w:r>
          </w:p>
        </w:tc>
        <w:tc>
          <w:tcPr>
            <w:tcW w:type="dxa" w:w="900"/>
            <w:tcMar>
              <w:top w:type="dxa" w:w="60"/>
              <w:left w:type="dxa" w:w="100"/>
              <w:bottom w:type="dxa" w:w="60"/>
              <w:right w:type="dxa" w:w="100"/>
            </w:tcMar>
            <w:vAlign w:val="center"/>
          </w:tcPr>
          <w:p>
            <w:r>
              <w:rPr>
                <w:b w:val="false"/>
                <w:bCs w:val="false"/>
                <w:sz w:val="19"/>
                <w:szCs w:val="19"/>
              </w:rPr>
              <w:t xml:space="preserve">4</w:t>
            </w:r>
          </w:p>
        </w:tc>
        <w:tc>
          <w:tcPr>
            <w:tcW w:type="dxa" w:w="700"/>
            <w:tcMar>
              <w:top w:type="dxa" w:w="60"/>
              <w:left w:type="dxa" w:w="100"/>
              <w:bottom w:type="dxa" w:w="60"/>
              <w:right w:type="dxa" w:w="100"/>
            </w:tcMar>
            <w:vAlign w:val="center"/>
          </w:tcPr>
          <w:p>
            <w:r>
              <w:rPr>
                <w:b w:val="false"/>
                <w:bCs w:val="false"/>
                <w:sz w:val="19"/>
                <w:szCs w:val="19"/>
              </w:rPr>
              <w:t xml:space="preserve">/29</w:t>
            </w:r>
          </w:p>
        </w:tc>
        <w:tc>
          <w:tcPr>
            <w:tcW w:type="dxa" w:w="1500"/>
            <w:tcMar>
              <w:top w:type="dxa" w:w="60"/>
              <w:left w:type="dxa" w:w="100"/>
              <w:bottom w:type="dxa" w:w="60"/>
              <w:right w:type="dxa" w:w="100"/>
            </w:tcMar>
            <w:vAlign w:val="center"/>
          </w:tcPr>
          <w:p>
            <w:r>
              <w:rPr>
                <w:b w:val="false"/>
                <w:bCs w:val="false"/>
                <w:sz w:val="19"/>
                <w:szCs w:val="19"/>
              </w:rPr>
              <w:t xml:space="preserve">11.35.45.192</w:t>
            </w:r>
          </w:p>
        </w:tc>
        <w:tc>
          <w:tcPr>
            <w:tcW w:type="dxa" w:w="3060"/>
            <w:tcMar>
              <w:top w:type="dxa" w:w="60"/>
              <w:left w:type="dxa" w:w="100"/>
              <w:bottom w:type="dxa" w:w="60"/>
              <w:right w:type="dxa" w:w="100"/>
            </w:tcMar>
            <w:vAlign w:val="center"/>
          </w:tcPr>
          <w:p>
            <w:r>
              <w:rPr>
                <w:b w:val="false"/>
                <w:bCs w:val="false"/>
                <w:sz w:val="19"/>
                <w:szCs w:val="19"/>
              </w:rPr>
              <w:t xml:space="preserve">11.35.45.193 – 11.35.45.198</w:t>
            </w:r>
          </w:p>
        </w:tc>
        <w:tc>
          <w:tcPr>
            <w:tcW w:type="dxa" w:w="1400"/>
            <w:tcMar>
              <w:top w:type="dxa" w:w="60"/>
              <w:left w:type="dxa" w:w="100"/>
              <w:bottom w:type="dxa" w:w="60"/>
              <w:right w:type="dxa" w:w="100"/>
            </w:tcMar>
            <w:vAlign w:val="center"/>
          </w:tcPr>
          <w:p>
            <w:r>
              <w:rPr>
                <w:b w:val="false"/>
                <w:bCs w:val="false"/>
                <w:sz w:val="19"/>
                <w:szCs w:val="19"/>
              </w:rPr>
              <w:t xml:space="preserve">11.35.45.199</w:t>
            </w:r>
          </w:p>
        </w:tc>
      </w:tr>
      <w:tr>
        <w:tc>
          <w:tcPr>
            <w:tcW w:type="dxa" w:w="1800"/>
            <w:tcMar>
              <w:top w:type="dxa" w:w="60"/>
              <w:left w:type="dxa" w:w="100"/>
              <w:bottom w:type="dxa" w:w="60"/>
              <w:right w:type="dxa" w:w="100"/>
            </w:tcMar>
            <w:vAlign w:val="center"/>
          </w:tcPr>
          <w:p>
            <w:r>
              <w:rPr>
                <w:b w:val="false"/>
                <w:bCs w:val="false"/>
                <w:sz w:val="19"/>
                <w:szCs w:val="19"/>
              </w:rPr>
              <w:t xml:space="preserve">P2P NEOC–SMS</w:t>
            </w:r>
          </w:p>
        </w:tc>
        <w:tc>
          <w:tcPr>
            <w:tcW w:type="dxa" w:w="900"/>
            <w:tcMar>
              <w:top w:type="dxa" w:w="60"/>
              <w:left w:type="dxa" w:w="100"/>
              <w:bottom w:type="dxa" w:w="60"/>
              <w:right w:type="dxa" w:w="100"/>
            </w:tcMar>
            <w:vAlign w:val="center"/>
          </w:tcPr>
          <w:p>
            <w:r>
              <w:rPr>
                <w:b w:val="false"/>
                <w:bCs w:val="false"/>
                <w:sz w:val="19"/>
                <w:szCs w:val="19"/>
              </w:rPr>
              <w:t xml:space="preserve">2</w:t>
            </w:r>
          </w:p>
        </w:tc>
        <w:tc>
          <w:tcPr>
            <w:tcW w:type="dxa" w:w="700"/>
            <w:tcMar>
              <w:top w:type="dxa" w:w="60"/>
              <w:left w:type="dxa" w:w="100"/>
              <w:bottom w:type="dxa" w:w="60"/>
              <w:right w:type="dxa" w:w="100"/>
            </w:tcMar>
            <w:vAlign w:val="center"/>
          </w:tcPr>
          <w:p>
            <w:r>
              <w:rPr>
                <w:b w:val="false"/>
                <w:bCs w:val="false"/>
                <w:sz w:val="19"/>
                <w:szCs w:val="19"/>
              </w:rPr>
              <w:t xml:space="preserve">/30</w:t>
            </w:r>
          </w:p>
        </w:tc>
        <w:tc>
          <w:tcPr>
            <w:tcW w:type="dxa" w:w="1500"/>
            <w:tcMar>
              <w:top w:type="dxa" w:w="60"/>
              <w:left w:type="dxa" w:w="100"/>
              <w:bottom w:type="dxa" w:w="60"/>
              <w:right w:type="dxa" w:w="100"/>
            </w:tcMar>
            <w:vAlign w:val="center"/>
          </w:tcPr>
          <w:p>
            <w:r>
              <w:rPr>
                <w:b w:val="false"/>
                <w:bCs w:val="false"/>
                <w:sz w:val="19"/>
                <w:szCs w:val="19"/>
              </w:rPr>
              <w:t xml:space="preserve">11.35.45.200</w:t>
            </w:r>
          </w:p>
        </w:tc>
        <w:tc>
          <w:tcPr>
            <w:tcW w:type="dxa" w:w="3060"/>
            <w:tcMar>
              <w:top w:type="dxa" w:w="60"/>
              <w:left w:type="dxa" w:w="100"/>
              <w:bottom w:type="dxa" w:w="60"/>
              <w:right w:type="dxa" w:w="100"/>
            </w:tcMar>
            <w:vAlign w:val="center"/>
          </w:tcPr>
          <w:p>
            <w:r>
              <w:rPr>
                <w:b w:val="false"/>
                <w:bCs w:val="false"/>
                <w:sz w:val="19"/>
                <w:szCs w:val="19"/>
              </w:rPr>
              <w:t xml:space="preserve">11.35.45.201 – 11.35.45.202</w:t>
            </w:r>
          </w:p>
        </w:tc>
        <w:tc>
          <w:tcPr>
            <w:tcW w:type="dxa" w:w="1400"/>
            <w:tcMar>
              <w:top w:type="dxa" w:w="60"/>
              <w:left w:type="dxa" w:w="100"/>
              <w:bottom w:type="dxa" w:w="60"/>
              <w:right w:type="dxa" w:w="100"/>
            </w:tcMar>
            <w:vAlign w:val="center"/>
          </w:tcPr>
          <w:p>
            <w:r>
              <w:rPr>
                <w:b w:val="false"/>
                <w:bCs w:val="false"/>
                <w:sz w:val="19"/>
                <w:szCs w:val="19"/>
              </w:rPr>
              <w:t xml:space="preserve">11.35.45.203</w:t>
            </w:r>
          </w:p>
        </w:tc>
      </w:tr>
      <w:tr>
        <w:tc>
          <w:tcPr>
            <w:tcW w:type="dxa" w:w="1800"/>
            <w:tcMar>
              <w:top w:type="dxa" w:w="60"/>
              <w:left w:type="dxa" w:w="100"/>
              <w:bottom w:type="dxa" w:w="60"/>
              <w:right w:type="dxa" w:w="100"/>
            </w:tcMar>
            <w:vAlign w:val="center"/>
          </w:tcPr>
          <w:p>
            <w:r>
              <w:rPr>
                <w:b w:val="false"/>
                <w:bCs w:val="false"/>
                <w:sz w:val="19"/>
                <w:szCs w:val="19"/>
              </w:rPr>
              <w:t xml:space="preserve">P2P SMS–FRH</w:t>
            </w:r>
          </w:p>
        </w:tc>
        <w:tc>
          <w:tcPr>
            <w:tcW w:type="dxa" w:w="900"/>
            <w:tcMar>
              <w:top w:type="dxa" w:w="60"/>
              <w:left w:type="dxa" w:w="100"/>
              <w:bottom w:type="dxa" w:w="60"/>
              <w:right w:type="dxa" w:w="100"/>
            </w:tcMar>
            <w:vAlign w:val="center"/>
          </w:tcPr>
          <w:p>
            <w:r>
              <w:rPr>
                <w:b w:val="false"/>
                <w:bCs w:val="false"/>
                <w:sz w:val="19"/>
                <w:szCs w:val="19"/>
              </w:rPr>
              <w:t xml:space="preserve">2</w:t>
            </w:r>
          </w:p>
        </w:tc>
        <w:tc>
          <w:tcPr>
            <w:tcW w:type="dxa" w:w="700"/>
            <w:tcMar>
              <w:top w:type="dxa" w:w="60"/>
              <w:left w:type="dxa" w:w="100"/>
              <w:bottom w:type="dxa" w:w="60"/>
              <w:right w:type="dxa" w:w="100"/>
            </w:tcMar>
            <w:vAlign w:val="center"/>
          </w:tcPr>
          <w:p>
            <w:r>
              <w:rPr>
                <w:b w:val="false"/>
                <w:bCs w:val="false"/>
                <w:sz w:val="19"/>
                <w:szCs w:val="19"/>
              </w:rPr>
              <w:t xml:space="preserve">/30</w:t>
            </w:r>
          </w:p>
        </w:tc>
        <w:tc>
          <w:tcPr>
            <w:tcW w:type="dxa" w:w="1500"/>
            <w:tcMar>
              <w:top w:type="dxa" w:w="60"/>
              <w:left w:type="dxa" w:w="100"/>
              <w:bottom w:type="dxa" w:w="60"/>
              <w:right w:type="dxa" w:w="100"/>
            </w:tcMar>
            <w:vAlign w:val="center"/>
          </w:tcPr>
          <w:p>
            <w:r>
              <w:rPr>
                <w:b w:val="false"/>
                <w:bCs w:val="false"/>
                <w:sz w:val="19"/>
                <w:szCs w:val="19"/>
              </w:rPr>
              <w:t xml:space="preserve">11.35.45.204</w:t>
            </w:r>
          </w:p>
        </w:tc>
        <w:tc>
          <w:tcPr>
            <w:tcW w:type="dxa" w:w="3060"/>
            <w:tcMar>
              <w:top w:type="dxa" w:w="60"/>
              <w:left w:type="dxa" w:w="100"/>
              <w:bottom w:type="dxa" w:w="60"/>
              <w:right w:type="dxa" w:w="100"/>
            </w:tcMar>
            <w:vAlign w:val="center"/>
          </w:tcPr>
          <w:p>
            <w:r>
              <w:rPr>
                <w:b w:val="false"/>
                <w:bCs w:val="false"/>
                <w:sz w:val="19"/>
                <w:szCs w:val="19"/>
              </w:rPr>
              <w:t xml:space="preserve">11.35.45.205 – 11.35.45.206</w:t>
            </w:r>
          </w:p>
        </w:tc>
        <w:tc>
          <w:tcPr>
            <w:tcW w:type="dxa" w:w="1400"/>
            <w:tcMar>
              <w:top w:type="dxa" w:w="60"/>
              <w:left w:type="dxa" w:w="100"/>
              <w:bottom w:type="dxa" w:w="60"/>
              <w:right w:type="dxa" w:w="100"/>
            </w:tcMar>
            <w:vAlign w:val="center"/>
          </w:tcPr>
          <w:p>
            <w:r>
              <w:rPr>
                <w:b w:val="false"/>
                <w:bCs w:val="false"/>
                <w:sz w:val="19"/>
                <w:szCs w:val="19"/>
              </w:rPr>
              <w:t xml:space="preserve">11.35.45.207</w:t>
            </w:r>
          </w:p>
        </w:tc>
      </w:tr>
      <w:tr>
        <w:tc>
          <w:tcPr>
            <w:tcW w:type="dxa" w:w="1800"/>
            <w:tcMar>
              <w:top w:type="dxa" w:w="60"/>
              <w:left w:type="dxa" w:w="100"/>
              <w:bottom w:type="dxa" w:w="60"/>
              <w:right w:type="dxa" w:w="100"/>
            </w:tcMar>
            <w:vAlign w:val="center"/>
          </w:tcPr>
          <w:p>
            <w:r>
              <w:rPr>
                <w:b w:val="false"/>
                <w:bCs w:val="false"/>
                <w:sz w:val="19"/>
                <w:szCs w:val="19"/>
              </w:rPr>
              <w:t xml:space="preserve">P2P FRH–NEOC</w:t>
            </w:r>
          </w:p>
        </w:tc>
        <w:tc>
          <w:tcPr>
            <w:tcW w:type="dxa" w:w="900"/>
            <w:tcMar>
              <w:top w:type="dxa" w:w="60"/>
              <w:left w:type="dxa" w:w="100"/>
              <w:bottom w:type="dxa" w:w="60"/>
              <w:right w:type="dxa" w:w="100"/>
            </w:tcMar>
            <w:vAlign w:val="center"/>
          </w:tcPr>
          <w:p>
            <w:r>
              <w:rPr>
                <w:b w:val="false"/>
                <w:bCs w:val="false"/>
                <w:sz w:val="19"/>
                <w:szCs w:val="19"/>
              </w:rPr>
              <w:t xml:space="preserve">2</w:t>
            </w:r>
          </w:p>
        </w:tc>
        <w:tc>
          <w:tcPr>
            <w:tcW w:type="dxa" w:w="700"/>
            <w:tcMar>
              <w:top w:type="dxa" w:w="60"/>
              <w:left w:type="dxa" w:w="100"/>
              <w:bottom w:type="dxa" w:w="60"/>
              <w:right w:type="dxa" w:w="100"/>
            </w:tcMar>
            <w:vAlign w:val="center"/>
          </w:tcPr>
          <w:p>
            <w:r>
              <w:rPr>
                <w:b w:val="false"/>
                <w:bCs w:val="false"/>
                <w:sz w:val="19"/>
                <w:szCs w:val="19"/>
              </w:rPr>
              <w:t xml:space="preserve">/30</w:t>
            </w:r>
          </w:p>
        </w:tc>
        <w:tc>
          <w:tcPr>
            <w:tcW w:type="dxa" w:w="1500"/>
            <w:tcMar>
              <w:top w:type="dxa" w:w="60"/>
              <w:left w:type="dxa" w:w="100"/>
              <w:bottom w:type="dxa" w:w="60"/>
              <w:right w:type="dxa" w:w="100"/>
            </w:tcMar>
            <w:vAlign w:val="center"/>
          </w:tcPr>
          <w:p>
            <w:r>
              <w:rPr>
                <w:b w:val="false"/>
                <w:bCs w:val="false"/>
                <w:sz w:val="19"/>
                <w:szCs w:val="19"/>
              </w:rPr>
              <w:t xml:space="preserve">11.35.45.208</w:t>
            </w:r>
          </w:p>
        </w:tc>
        <w:tc>
          <w:tcPr>
            <w:tcW w:type="dxa" w:w="3060"/>
            <w:tcMar>
              <w:top w:type="dxa" w:w="60"/>
              <w:left w:type="dxa" w:w="100"/>
              <w:bottom w:type="dxa" w:w="60"/>
              <w:right w:type="dxa" w:w="100"/>
            </w:tcMar>
            <w:vAlign w:val="center"/>
          </w:tcPr>
          <w:p>
            <w:r>
              <w:rPr>
                <w:b w:val="false"/>
                <w:bCs w:val="false"/>
                <w:sz w:val="19"/>
                <w:szCs w:val="19"/>
              </w:rPr>
              <w:t xml:space="preserve">11.35.45.209 – 11.35.45.210</w:t>
            </w:r>
          </w:p>
        </w:tc>
        <w:tc>
          <w:tcPr>
            <w:tcW w:type="dxa" w:w="1400"/>
            <w:tcMar>
              <w:top w:type="dxa" w:w="60"/>
              <w:left w:type="dxa" w:w="100"/>
              <w:bottom w:type="dxa" w:w="60"/>
              <w:right w:type="dxa" w:w="100"/>
            </w:tcMar>
            <w:vAlign w:val="center"/>
          </w:tcPr>
          <w:p>
            <w:r>
              <w:rPr>
                <w:b w:val="false"/>
                <w:bCs w:val="false"/>
                <w:sz w:val="19"/>
                <w:szCs w:val="19"/>
              </w:rPr>
              <w:t xml:space="preserve">11.35.45.211</w:t>
            </w:r>
          </w:p>
        </w:tc>
      </w:tr>
      <w:tr>
        <w:tc>
          <w:tcPr>
            <w:tcW w:type="dxa" w:w="1800"/>
            <w:tcMar>
              <w:top w:type="dxa" w:w="60"/>
              <w:left w:type="dxa" w:w="100"/>
              <w:bottom w:type="dxa" w:w="60"/>
              <w:right w:type="dxa" w:w="100"/>
            </w:tcMar>
            <w:vAlign w:val="center"/>
          </w:tcPr>
          <w:p>
            <w:r>
              <w:rPr>
                <w:b w:val="false"/>
                <w:bCs w:val="false"/>
                <w:sz w:val="19"/>
                <w:szCs w:val="19"/>
              </w:rPr>
              <w:t xml:space="preserve">P2P NEOC–MEC</w:t>
            </w:r>
          </w:p>
        </w:tc>
        <w:tc>
          <w:tcPr>
            <w:tcW w:type="dxa" w:w="900"/>
            <w:tcMar>
              <w:top w:type="dxa" w:w="60"/>
              <w:left w:type="dxa" w:w="100"/>
              <w:bottom w:type="dxa" w:w="60"/>
              <w:right w:type="dxa" w:w="100"/>
            </w:tcMar>
            <w:vAlign w:val="center"/>
          </w:tcPr>
          <w:p>
            <w:r>
              <w:rPr>
                <w:b w:val="false"/>
                <w:bCs w:val="false"/>
                <w:sz w:val="19"/>
                <w:szCs w:val="19"/>
              </w:rPr>
              <w:t xml:space="preserve">2</w:t>
            </w:r>
          </w:p>
        </w:tc>
        <w:tc>
          <w:tcPr>
            <w:tcW w:type="dxa" w:w="700"/>
            <w:tcMar>
              <w:top w:type="dxa" w:w="60"/>
              <w:left w:type="dxa" w:w="100"/>
              <w:bottom w:type="dxa" w:w="60"/>
              <w:right w:type="dxa" w:w="100"/>
            </w:tcMar>
            <w:vAlign w:val="center"/>
          </w:tcPr>
          <w:p>
            <w:r>
              <w:rPr>
                <w:b w:val="false"/>
                <w:bCs w:val="false"/>
                <w:sz w:val="19"/>
                <w:szCs w:val="19"/>
              </w:rPr>
              <w:t xml:space="preserve">/30</w:t>
            </w:r>
          </w:p>
        </w:tc>
        <w:tc>
          <w:tcPr>
            <w:tcW w:type="dxa" w:w="1500"/>
            <w:tcMar>
              <w:top w:type="dxa" w:w="60"/>
              <w:left w:type="dxa" w:w="100"/>
              <w:bottom w:type="dxa" w:w="60"/>
              <w:right w:type="dxa" w:w="100"/>
            </w:tcMar>
            <w:vAlign w:val="center"/>
          </w:tcPr>
          <w:p>
            <w:r>
              <w:rPr>
                <w:b w:val="false"/>
                <w:bCs w:val="false"/>
                <w:sz w:val="19"/>
                <w:szCs w:val="19"/>
              </w:rPr>
              <w:t xml:space="preserve">11.35.45.212</w:t>
            </w:r>
          </w:p>
        </w:tc>
        <w:tc>
          <w:tcPr>
            <w:tcW w:type="dxa" w:w="3060"/>
            <w:tcMar>
              <w:top w:type="dxa" w:w="60"/>
              <w:left w:type="dxa" w:w="100"/>
              <w:bottom w:type="dxa" w:w="60"/>
              <w:right w:type="dxa" w:w="100"/>
            </w:tcMar>
            <w:vAlign w:val="center"/>
          </w:tcPr>
          <w:p>
            <w:r>
              <w:rPr>
                <w:b w:val="false"/>
                <w:bCs w:val="false"/>
                <w:sz w:val="19"/>
                <w:szCs w:val="19"/>
              </w:rPr>
              <w:t xml:space="preserve">11.35.45.213 – 11.35.45.214</w:t>
            </w:r>
          </w:p>
        </w:tc>
        <w:tc>
          <w:tcPr>
            <w:tcW w:type="dxa" w:w="1400"/>
            <w:tcMar>
              <w:top w:type="dxa" w:w="60"/>
              <w:left w:type="dxa" w:w="100"/>
              <w:bottom w:type="dxa" w:w="60"/>
              <w:right w:type="dxa" w:w="100"/>
            </w:tcMar>
            <w:vAlign w:val="center"/>
          </w:tcPr>
          <w:p>
            <w:r>
              <w:rPr>
                <w:b w:val="false"/>
                <w:bCs w:val="false"/>
                <w:sz w:val="19"/>
                <w:szCs w:val="19"/>
              </w:rPr>
              <w:t xml:space="preserve">11.35.45.215</w:t>
            </w:r>
          </w:p>
        </w:tc>
      </w:tr>
      <w:tr>
        <w:tc>
          <w:tcPr>
            <w:tcW w:type="dxa" w:w="1800"/>
            <w:tcMar>
              <w:top w:type="dxa" w:w="60"/>
              <w:left w:type="dxa" w:w="100"/>
              <w:bottom w:type="dxa" w:w="60"/>
              <w:right w:type="dxa" w:w="100"/>
            </w:tcMar>
            <w:vAlign w:val="center"/>
          </w:tcPr>
          <w:p>
            <w:r>
              <w:rPr>
                <w:b w:val="false"/>
                <w:bCs w:val="false"/>
                <w:sz w:val="19"/>
                <w:szCs w:val="19"/>
              </w:rPr>
              <w:t xml:space="preserve">P2P USR–MEC</w:t>
            </w:r>
          </w:p>
        </w:tc>
        <w:tc>
          <w:tcPr>
            <w:tcW w:type="dxa" w:w="900"/>
            <w:tcMar>
              <w:top w:type="dxa" w:w="60"/>
              <w:left w:type="dxa" w:w="100"/>
              <w:bottom w:type="dxa" w:w="60"/>
              <w:right w:type="dxa" w:w="100"/>
            </w:tcMar>
            <w:vAlign w:val="center"/>
          </w:tcPr>
          <w:p>
            <w:r>
              <w:rPr>
                <w:b w:val="false"/>
                <w:bCs w:val="false"/>
                <w:sz w:val="19"/>
                <w:szCs w:val="19"/>
              </w:rPr>
              <w:t xml:space="preserve">2</w:t>
            </w:r>
          </w:p>
        </w:tc>
        <w:tc>
          <w:tcPr>
            <w:tcW w:type="dxa" w:w="700"/>
            <w:tcMar>
              <w:top w:type="dxa" w:w="60"/>
              <w:left w:type="dxa" w:w="100"/>
              <w:bottom w:type="dxa" w:w="60"/>
              <w:right w:type="dxa" w:w="100"/>
            </w:tcMar>
            <w:vAlign w:val="center"/>
          </w:tcPr>
          <w:p>
            <w:r>
              <w:rPr>
                <w:b w:val="false"/>
                <w:bCs w:val="false"/>
                <w:sz w:val="19"/>
                <w:szCs w:val="19"/>
              </w:rPr>
              <w:t xml:space="preserve">/30</w:t>
            </w:r>
          </w:p>
        </w:tc>
        <w:tc>
          <w:tcPr>
            <w:tcW w:type="dxa" w:w="1500"/>
            <w:tcMar>
              <w:top w:type="dxa" w:w="60"/>
              <w:left w:type="dxa" w:w="100"/>
              <w:bottom w:type="dxa" w:w="60"/>
              <w:right w:type="dxa" w:w="100"/>
            </w:tcMar>
            <w:vAlign w:val="center"/>
          </w:tcPr>
          <w:p>
            <w:r>
              <w:rPr>
                <w:b w:val="false"/>
                <w:bCs w:val="false"/>
                <w:sz w:val="19"/>
                <w:szCs w:val="19"/>
              </w:rPr>
              <w:t xml:space="preserve">11.35.45.216</w:t>
            </w:r>
          </w:p>
        </w:tc>
        <w:tc>
          <w:tcPr>
            <w:tcW w:type="dxa" w:w="3060"/>
            <w:tcMar>
              <w:top w:type="dxa" w:w="60"/>
              <w:left w:type="dxa" w:w="100"/>
              <w:bottom w:type="dxa" w:w="60"/>
              <w:right w:type="dxa" w:w="100"/>
            </w:tcMar>
            <w:vAlign w:val="center"/>
          </w:tcPr>
          <w:p>
            <w:r>
              <w:rPr>
                <w:b w:val="false"/>
                <w:bCs w:val="false"/>
                <w:sz w:val="19"/>
                <w:szCs w:val="19"/>
              </w:rPr>
              <w:t xml:space="preserve">11.35.45.217 – 11.35.45.218</w:t>
            </w:r>
          </w:p>
        </w:tc>
        <w:tc>
          <w:tcPr>
            <w:tcW w:type="dxa" w:w="1400"/>
            <w:tcMar>
              <w:top w:type="dxa" w:w="60"/>
              <w:left w:type="dxa" w:w="100"/>
              <w:bottom w:type="dxa" w:w="60"/>
              <w:right w:type="dxa" w:w="100"/>
            </w:tcMar>
            <w:vAlign w:val="center"/>
          </w:tcPr>
          <w:p>
            <w:r>
              <w:rPr>
                <w:b w:val="false"/>
                <w:bCs w:val="false"/>
                <w:sz w:val="19"/>
                <w:szCs w:val="19"/>
              </w:rPr>
              <w:t xml:space="preserve">11.35.45.219</w:t>
            </w:r>
          </w:p>
        </w:tc>
      </w:tr>
      <w:tr>
        <w:tc>
          <w:tcPr>
            <w:tcW w:type="dxa" w:w="1800"/>
            <w:tcMar>
              <w:top w:type="dxa" w:w="60"/>
              <w:left w:type="dxa" w:w="100"/>
              <w:bottom w:type="dxa" w:w="60"/>
              <w:right w:type="dxa" w:w="100"/>
            </w:tcMar>
            <w:vAlign w:val="center"/>
          </w:tcPr>
          <w:p>
            <w:r>
              <w:rPr>
                <w:b w:val="false"/>
                <w:bCs w:val="false"/>
                <w:sz w:val="19"/>
                <w:szCs w:val="19"/>
              </w:rPr>
              <w:t xml:space="preserve">P2P CRC–MOP</w:t>
            </w:r>
          </w:p>
        </w:tc>
        <w:tc>
          <w:tcPr>
            <w:tcW w:type="dxa" w:w="900"/>
            <w:tcMar>
              <w:top w:type="dxa" w:w="60"/>
              <w:left w:type="dxa" w:w="100"/>
              <w:bottom w:type="dxa" w:w="60"/>
              <w:right w:type="dxa" w:w="100"/>
            </w:tcMar>
            <w:vAlign w:val="center"/>
          </w:tcPr>
          <w:p>
            <w:r>
              <w:rPr>
                <w:b w:val="false"/>
                <w:bCs w:val="false"/>
                <w:sz w:val="19"/>
                <w:szCs w:val="19"/>
              </w:rPr>
              <w:t xml:space="preserve">2</w:t>
            </w:r>
          </w:p>
        </w:tc>
        <w:tc>
          <w:tcPr>
            <w:tcW w:type="dxa" w:w="700"/>
            <w:tcMar>
              <w:top w:type="dxa" w:w="60"/>
              <w:left w:type="dxa" w:w="100"/>
              <w:bottom w:type="dxa" w:w="60"/>
              <w:right w:type="dxa" w:w="100"/>
            </w:tcMar>
            <w:vAlign w:val="center"/>
          </w:tcPr>
          <w:p>
            <w:r>
              <w:rPr>
                <w:b w:val="false"/>
                <w:bCs w:val="false"/>
                <w:sz w:val="19"/>
                <w:szCs w:val="19"/>
              </w:rPr>
              <w:t xml:space="preserve">/30</w:t>
            </w:r>
          </w:p>
        </w:tc>
        <w:tc>
          <w:tcPr>
            <w:tcW w:type="dxa" w:w="1500"/>
            <w:tcMar>
              <w:top w:type="dxa" w:w="60"/>
              <w:left w:type="dxa" w:w="100"/>
              <w:bottom w:type="dxa" w:w="60"/>
              <w:right w:type="dxa" w:w="100"/>
            </w:tcMar>
            <w:vAlign w:val="center"/>
          </w:tcPr>
          <w:p>
            <w:r>
              <w:rPr>
                <w:b w:val="false"/>
                <w:bCs w:val="false"/>
                <w:sz w:val="19"/>
                <w:szCs w:val="19"/>
              </w:rPr>
              <w:t xml:space="preserve">11.35.45.220</w:t>
            </w:r>
          </w:p>
        </w:tc>
        <w:tc>
          <w:tcPr>
            <w:tcW w:type="dxa" w:w="3060"/>
            <w:tcMar>
              <w:top w:type="dxa" w:w="60"/>
              <w:left w:type="dxa" w:w="100"/>
              <w:bottom w:type="dxa" w:w="60"/>
              <w:right w:type="dxa" w:w="100"/>
            </w:tcMar>
            <w:vAlign w:val="center"/>
          </w:tcPr>
          <w:p>
            <w:r>
              <w:rPr>
                <w:b w:val="false"/>
                <w:bCs w:val="false"/>
                <w:sz w:val="19"/>
                <w:szCs w:val="19"/>
              </w:rPr>
              <w:t xml:space="preserve">11.35.45.221 – 11.35.45.222</w:t>
            </w:r>
          </w:p>
        </w:tc>
        <w:tc>
          <w:tcPr>
            <w:tcW w:type="dxa" w:w="1400"/>
            <w:tcMar>
              <w:top w:type="dxa" w:w="60"/>
              <w:left w:type="dxa" w:w="100"/>
              <w:bottom w:type="dxa" w:w="60"/>
              <w:right w:type="dxa" w:w="100"/>
            </w:tcMar>
            <w:vAlign w:val="center"/>
          </w:tcPr>
          <w:p>
            <w:r>
              <w:rPr>
                <w:b w:val="false"/>
                <w:bCs w:val="false"/>
                <w:sz w:val="19"/>
                <w:szCs w:val="19"/>
              </w:rPr>
              <w:t xml:space="preserve">11.35.45.223</w:t>
            </w:r>
          </w:p>
        </w:tc>
      </w:tr>
    </w:tbl>
    <w:p>
      <w:pPr>
        <w:spacing w:after="300" w:before="80"/>
        <w:jc w:val="center"/>
      </w:pPr>
      <w:r>
        <w:rPr>
          <w:i/>
          <w:iCs/>
          <w:color w:val="555555"/>
          <w:sz w:val="18"/>
          <w:szCs w:val="18"/>
        </w:rPr>
        <w:t xml:space="preserve">Table 1 — Full VLSM subnet allocation.</w:t>
      </w:r>
    </w:p>
    <w:p>
      <w:pPr>
        <w:spacing w:after="160"/>
      </w:pPr>
      <w:r>
        <w:t xml:space="preserve">The tree below shows the same allocation as a branching diagram: starting from the full 11.35.0.0/16 block, each split halves the address space (borrowing one more host bit), continuing down whichever half still contains further requirements until every subnet in Table 1 is reached. Branches that reach a size no longer needed by any requirement are left unused rather than split further.</w:t>
      </w:r>
    </w:p>
    <w:p>
      <w:pPr>
        <w:spacing w:before="200"/>
        <w:jc w:val="center"/>
      </w:pPr>
      <w:r>
        <w:drawing>
          <wp:inline distT="0" distB="0" distL="0" distR="0">
            <wp:extent cx="4381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686175"/>
                    </a:xfrm>
                    <a:prstGeom prst="rect">
                      <a:avLst/>
                    </a:prstGeom>
                  </pic:spPr>
                </pic:pic>
              </a:graphicData>
            </a:graphic>
          </wp:inline>
        </w:drawing>
      </w:r>
    </w:p>
    <w:p>
      <w:pPr>
        <w:spacing w:after="300" w:before="80"/>
        <w:jc w:val="center"/>
      </w:pPr>
      <w:r>
        <w:rPr>
          <w:i/>
          <w:iCs/>
          <w:color w:val="555555"/>
          <w:sz w:val="18"/>
          <w:szCs w:val="18"/>
        </w:rPr>
        <w:t xml:space="preserve">Figure 2 — VLSM tree: the 11.35.0.0/16 block subdivided down to every allocated subnet.</w:t>
      </w:r>
    </w:p>
    <w:p>
      <w:pPr>
        <w:pStyle w:val="Heading2"/>
        <w:spacing w:after="150" w:before="300"/>
      </w:pPr>
      <w:r>
        <w:t xml:space="preserve">3.3 Per-site static addressing convention</w:t>
      </w:r>
    </w:p>
    <w:p>
      <w:pPr>
        <w:spacing w:after="160"/>
      </w:pPr>
      <w:r>
        <w:t xml:space="preserve">Within every LAN subnet: the first usable address is the router’s gateway interface, the second is that unit’s server, the third is its printer, and the remainder of the range is the DHCP pool for its two PCs.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100"/>
        <w:gridCol w:w="1900"/>
        <w:gridCol w:w="1960"/>
      </w:tblGrid>
      <w:tr>
        <w:trPr>
          <w:tblHeader/>
        </w:trPr>
        <w:tc>
          <w:tcPr>
            <w:tcW w:type="dxa" w:w="1600"/>
            <w:shd w:fill="DCE3F7" w:val="clear"/>
            <w:tcMar>
              <w:top w:type="dxa" w:w="60"/>
              <w:left w:type="dxa" w:w="100"/>
              <w:bottom w:type="dxa" w:w="60"/>
              <w:right w:type="dxa" w:w="100"/>
            </w:tcMar>
            <w:vAlign w:val="center"/>
          </w:tcPr>
          <w:p>
            <w:r>
              <w:rPr>
                <w:b/>
                <w:bCs/>
                <w:sz w:val="19"/>
                <w:szCs w:val="19"/>
              </w:rPr>
              <w:t xml:space="preserve">Device</w:t>
            </w:r>
          </w:p>
        </w:tc>
        <w:tc>
          <w:tcPr>
            <w:tcW w:type="dxa" w:w="1800"/>
            <w:shd w:fill="DCE3F7" w:val="clear"/>
            <w:tcMar>
              <w:top w:type="dxa" w:w="60"/>
              <w:left w:type="dxa" w:w="100"/>
              <w:bottom w:type="dxa" w:w="60"/>
              <w:right w:type="dxa" w:w="100"/>
            </w:tcMar>
            <w:vAlign w:val="center"/>
          </w:tcPr>
          <w:p>
            <w:r>
              <w:rPr>
                <w:b/>
                <w:bCs/>
                <w:sz w:val="19"/>
                <w:szCs w:val="19"/>
              </w:rPr>
              <w:t xml:space="preserve">IP</w:t>
            </w:r>
          </w:p>
        </w:tc>
        <w:tc>
          <w:tcPr>
            <w:tcW w:type="dxa" w:w="2100"/>
            <w:shd w:fill="DCE3F7" w:val="clear"/>
            <w:tcMar>
              <w:top w:type="dxa" w:w="60"/>
              <w:left w:type="dxa" w:w="100"/>
              <w:bottom w:type="dxa" w:w="60"/>
              <w:right w:type="dxa" w:w="100"/>
            </w:tcMar>
            <w:vAlign w:val="center"/>
          </w:tcPr>
          <w:p>
            <w:r>
              <w:rPr>
                <w:b/>
                <w:bCs/>
                <w:sz w:val="19"/>
                <w:szCs w:val="19"/>
              </w:rPr>
              <w:t xml:space="preserve">Mask</w:t>
            </w:r>
          </w:p>
        </w:tc>
        <w:tc>
          <w:tcPr>
            <w:tcW w:type="dxa" w:w="1900"/>
            <w:shd w:fill="DCE3F7" w:val="clear"/>
            <w:tcMar>
              <w:top w:type="dxa" w:w="60"/>
              <w:left w:type="dxa" w:w="100"/>
              <w:bottom w:type="dxa" w:w="60"/>
              <w:right w:type="dxa" w:w="100"/>
            </w:tcMar>
            <w:vAlign w:val="center"/>
          </w:tcPr>
          <w:p>
            <w:r>
              <w:rPr>
                <w:b/>
                <w:bCs/>
                <w:sz w:val="19"/>
                <w:szCs w:val="19"/>
              </w:rPr>
              <w:t xml:space="preserve">Gateway</w:t>
            </w:r>
          </w:p>
        </w:tc>
        <w:tc>
          <w:tcPr>
            <w:tcW w:type="dxa" w:w="1960"/>
            <w:shd w:fill="DCE3F7" w:val="clear"/>
            <w:tcMar>
              <w:top w:type="dxa" w:w="60"/>
              <w:left w:type="dxa" w:w="100"/>
              <w:bottom w:type="dxa" w:w="60"/>
              <w:right w:type="dxa" w:w="100"/>
            </w:tcMar>
            <w:vAlign w:val="center"/>
          </w:tcPr>
          <w:p>
            <w:r>
              <w:rPr>
                <w:b/>
                <w:bCs/>
                <w:sz w:val="19"/>
                <w:szCs w:val="19"/>
              </w:rPr>
              <w:t xml:space="preserve">DNS</w:t>
            </w:r>
          </w:p>
        </w:tc>
      </w:tr>
      <w:tr>
        <w:tc>
          <w:tcPr>
            <w:tcW w:type="dxa" w:w="1600"/>
            <w:tcMar>
              <w:top w:type="dxa" w:w="60"/>
              <w:left w:type="dxa" w:w="100"/>
              <w:bottom w:type="dxa" w:w="60"/>
              <w:right w:type="dxa" w:w="100"/>
            </w:tcMar>
            <w:vAlign w:val="center"/>
          </w:tcPr>
          <w:p>
            <w:r>
              <w:rPr>
                <w:b w:val="false"/>
                <w:bCs w:val="false"/>
                <w:sz w:val="19"/>
                <w:szCs w:val="19"/>
              </w:rPr>
              <w:t xml:space="preserve">NEOC-SRV</w:t>
            </w:r>
          </w:p>
        </w:tc>
        <w:tc>
          <w:tcPr>
            <w:tcW w:type="dxa" w:w="1800"/>
            <w:tcMar>
              <w:top w:type="dxa" w:w="60"/>
              <w:left w:type="dxa" w:w="100"/>
              <w:bottom w:type="dxa" w:w="60"/>
              <w:right w:type="dxa" w:w="100"/>
            </w:tcMar>
            <w:vAlign w:val="center"/>
          </w:tcPr>
          <w:p>
            <w:r>
              <w:rPr>
                <w:b w:val="false"/>
                <w:bCs w:val="false"/>
                <w:sz w:val="19"/>
                <w:szCs w:val="19"/>
              </w:rPr>
              <w:t xml:space="preserve">11.35.0.2</w:t>
            </w:r>
          </w:p>
        </w:tc>
        <w:tc>
          <w:tcPr>
            <w:tcW w:type="dxa" w:w="2100"/>
            <w:tcMar>
              <w:top w:type="dxa" w:w="60"/>
              <w:left w:type="dxa" w:w="100"/>
              <w:bottom w:type="dxa" w:w="60"/>
              <w:right w:type="dxa" w:w="100"/>
            </w:tcMar>
            <w:vAlign w:val="center"/>
          </w:tcPr>
          <w:p>
            <w:r>
              <w:rPr>
                <w:b w:val="false"/>
                <w:bCs w:val="false"/>
                <w:sz w:val="19"/>
                <w:szCs w:val="19"/>
              </w:rPr>
              <w:t xml:space="preserve">255.255.224.0</w:t>
            </w:r>
          </w:p>
        </w:tc>
        <w:tc>
          <w:tcPr>
            <w:tcW w:type="dxa" w:w="1900"/>
            <w:tcMar>
              <w:top w:type="dxa" w:w="60"/>
              <w:left w:type="dxa" w:w="100"/>
              <w:bottom w:type="dxa" w:w="60"/>
              <w:right w:type="dxa" w:w="100"/>
            </w:tcMar>
            <w:vAlign w:val="center"/>
          </w:tcPr>
          <w:p>
            <w:r>
              <w:rPr>
                <w:b w:val="false"/>
                <w:bCs w:val="false"/>
                <w:sz w:val="19"/>
                <w:szCs w:val="19"/>
              </w:rPr>
              <w:t xml:space="preserve">11.35.0.1</w:t>
            </w:r>
          </w:p>
        </w:tc>
        <w:tc>
          <w:tcPr>
            <w:tcW w:type="dxa" w:w="1960"/>
            <w:tcMar>
              <w:top w:type="dxa" w:w="60"/>
              <w:left w:type="dxa" w:w="100"/>
              <w:bottom w:type="dxa" w:w="60"/>
              <w:right w:type="dxa" w:w="100"/>
            </w:tcMar>
            <w:vAlign w:val="center"/>
          </w:tcPr>
          <w:p>
            <w:r>
              <w:rPr>
                <w:b w:val="false"/>
                <w:bCs w:val="false"/>
                <w:sz w:val="19"/>
                <w:szCs w:val="19"/>
              </w:rPr>
              <w:t xml:space="preserve">11.35.0.2</w:t>
            </w:r>
          </w:p>
        </w:tc>
      </w:tr>
      <w:tr>
        <w:tc>
          <w:tcPr>
            <w:tcW w:type="dxa" w:w="1600"/>
            <w:tcMar>
              <w:top w:type="dxa" w:w="60"/>
              <w:left w:type="dxa" w:w="100"/>
              <w:bottom w:type="dxa" w:w="60"/>
              <w:right w:type="dxa" w:w="100"/>
            </w:tcMar>
            <w:vAlign w:val="center"/>
          </w:tcPr>
          <w:p>
            <w:r>
              <w:rPr>
                <w:b w:val="false"/>
                <w:bCs w:val="false"/>
                <w:sz w:val="19"/>
                <w:szCs w:val="19"/>
              </w:rPr>
              <w:t xml:space="preserve">NEOC-PRN</w:t>
            </w:r>
          </w:p>
        </w:tc>
        <w:tc>
          <w:tcPr>
            <w:tcW w:type="dxa" w:w="1800"/>
            <w:tcMar>
              <w:top w:type="dxa" w:w="60"/>
              <w:left w:type="dxa" w:w="100"/>
              <w:bottom w:type="dxa" w:w="60"/>
              <w:right w:type="dxa" w:w="100"/>
            </w:tcMar>
            <w:vAlign w:val="center"/>
          </w:tcPr>
          <w:p>
            <w:r>
              <w:rPr>
                <w:b w:val="false"/>
                <w:bCs w:val="false"/>
                <w:sz w:val="19"/>
                <w:szCs w:val="19"/>
              </w:rPr>
              <w:t xml:space="preserve">11.35.0.3</w:t>
            </w:r>
          </w:p>
        </w:tc>
        <w:tc>
          <w:tcPr>
            <w:tcW w:type="dxa" w:w="2100"/>
            <w:tcMar>
              <w:top w:type="dxa" w:w="60"/>
              <w:left w:type="dxa" w:w="100"/>
              <w:bottom w:type="dxa" w:w="60"/>
              <w:right w:type="dxa" w:w="100"/>
            </w:tcMar>
            <w:vAlign w:val="center"/>
          </w:tcPr>
          <w:p>
            <w:r>
              <w:rPr>
                <w:b w:val="false"/>
                <w:bCs w:val="false"/>
                <w:sz w:val="19"/>
                <w:szCs w:val="19"/>
              </w:rPr>
              <w:t xml:space="preserve">255.255.224.0</w:t>
            </w:r>
          </w:p>
        </w:tc>
        <w:tc>
          <w:tcPr>
            <w:tcW w:type="dxa" w:w="1900"/>
            <w:tcMar>
              <w:top w:type="dxa" w:w="60"/>
              <w:left w:type="dxa" w:w="100"/>
              <w:bottom w:type="dxa" w:w="60"/>
              <w:right w:type="dxa" w:w="100"/>
            </w:tcMar>
            <w:vAlign w:val="center"/>
          </w:tcPr>
          <w:p>
            <w:r>
              <w:rPr>
                <w:b w:val="false"/>
                <w:bCs w:val="false"/>
                <w:sz w:val="19"/>
                <w:szCs w:val="19"/>
              </w:rPr>
              <w:t xml:space="preserve">11.35.0.1</w:t>
            </w:r>
          </w:p>
        </w:tc>
        <w:tc>
          <w:tcPr>
            <w:tcW w:type="dxa" w:w="1960"/>
            <w:tcMar>
              <w:top w:type="dxa" w:w="60"/>
              <w:left w:type="dxa" w:w="100"/>
              <w:bottom w:type="dxa" w:w="60"/>
              <w:right w:type="dxa" w:w="100"/>
            </w:tcMar>
            <w:vAlign w:val="center"/>
          </w:tcPr>
          <w:p>
            <w:r>
              <w:rPr>
                <w:b w:val="false"/>
                <w:bCs w:val="false"/>
                <w:sz w:val="19"/>
                <w:szCs w:val="19"/>
              </w:rPr>
              <w:t xml:space="preserve">11.35.0.2</w:t>
            </w:r>
          </w:p>
        </w:tc>
      </w:tr>
      <w:tr>
        <w:tc>
          <w:tcPr>
            <w:tcW w:type="dxa" w:w="1600"/>
            <w:tcMar>
              <w:top w:type="dxa" w:w="60"/>
              <w:left w:type="dxa" w:w="100"/>
              <w:bottom w:type="dxa" w:w="60"/>
              <w:right w:type="dxa" w:w="100"/>
            </w:tcMar>
            <w:vAlign w:val="center"/>
          </w:tcPr>
          <w:p>
            <w:r>
              <w:rPr>
                <w:b w:val="false"/>
                <w:bCs w:val="false"/>
                <w:sz w:val="19"/>
                <w:szCs w:val="19"/>
              </w:rPr>
              <w:t xml:space="preserve">SMS-SRV</w:t>
            </w:r>
          </w:p>
        </w:tc>
        <w:tc>
          <w:tcPr>
            <w:tcW w:type="dxa" w:w="1800"/>
            <w:tcMar>
              <w:top w:type="dxa" w:w="60"/>
              <w:left w:type="dxa" w:w="100"/>
              <w:bottom w:type="dxa" w:w="60"/>
              <w:right w:type="dxa" w:w="100"/>
            </w:tcMar>
            <w:vAlign w:val="center"/>
          </w:tcPr>
          <w:p>
            <w:r>
              <w:rPr>
                <w:b w:val="false"/>
                <w:bCs w:val="false"/>
                <w:sz w:val="19"/>
                <w:szCs w:val="19"/>
              </w:rPr>
              <w:t xml:space="preserve">11.35.44.2</w:t>
            </w:r>
          </w:p>
        </w:tc>
        <w:tc>
          <w:tcPr>
            <w:tcW w:type="dxa" w:w="2100"/>
            <w:tcMar>
              <w:top w:type="dxa" w:w="60"/>
              <w:left w:type="dxa" w:w="100"/>
              <w:bottom w:type="dxa" w:w="60"/>
              <w:right w:type="dxa" w:w="100"/>
            </w:tcMar>
            <w:vAlign w:val="center"/>
          </w:tcPr>
          <w:p>
            <w:r>
              <w:rPr>
                <w:b w:val="false"/>
                <w:bCs w:val="false"/>
                <w:sz w:val="19"/>
                <w:szCs w:val="19"/>
              </w:rPr>
              <w:t xml:space="preserve">255.255.255.0</w:t>
            </w:r>
          </w:p>
        </w:tc>
        <w:tc>
          <w:tcPr>
            <w:tcW w:type="dxa" w:w="1900"/>
            <w:tcMar>
              <w:top w:type="dxa" w:w="60"/>
              <w:left w:type="dxa" w:w="100"/>
              <w:bottom w:type="dxa" w:w="60"/>
              <w:right w:type="dxa" w:w="100"/>
            </w:tcMar>
            <w:vAlign w:val="center"/>
          </w:tcPr>
          <w:p>
            <w:r>
              <w:rPr>
                <w:b w:val="false"/>
                <w:bCs w:val="false"/>
                <w:sz w:val="19"/>
                <w:szCs w:val="19"/>
              </w:rPr>
              <w:t xml:space="preserve">11.35.44.1</w:t>
            </w:r>
          </w:p>
        </w:tc>
        <w:tc>
          <w:tcPr>
            <w:tcW w:type="dxa" w:w="1960"/>
            <w:tcMar>
              <w:top w:type="dxa" w:w="60"/>
              <w:left w:type="dxa" w:w="100"/>
              <w:bottom w:type="dxa" w:w="60"/>
              <w:right w:type="dxa" w:w="100"/>
            </w:tcMar>
            <w:vAlign w:val="center"/>
          </w:tcPr>
          <w:p>
            <w:r>
              <w:rPr>
                <w:b w:val="false"/>
                <w:bCs w:val="false"/>
                <w:sz w:val="19"/>
                <w:szCs w:val="19"/>
              </w:rPr>
              <w:t xml:space="preserve">11.35.0.2</w:t>
            </w:r>
          </w:p>
        </w:tc>
      </w:tr>
      <w:tr>
        <w:tc>
          <w:tcPr>
            <w:tcW w:type="dxa" w:w="1600"/>
            <w:tcMar>
              <w:top w:type="dxa" w:w="60"/>
              <w:left w:type="dxa" w:w="100"/>
              <w:bottom w:type="dxa" w:w="60"/>
              <w:right w:type="dxa" w:w="100"/>
            </w:tcMar>
            <w:vAlign w:val="center"/>
          </w:tcPr>
          <w:p>
            <w:r>
              <w:rPr>
                <w:b w:val="false"/>
                <w:bCs w:val="false"/>
                <w:sz w:val="19"/>
                <w:szCs w:val="19"/>
              </w:rPr>
              <w:t xml:space="preserve">SMS-PRN</w:t>
            </w:r>
          </w:p>
        </w:tc>
        <w:tc>
          <w:tcPr>
            <w:tcW w:type="dxa" w:w="1800"/>
            <w:tcMar>
              <w:top w:type="dxa" w:w="60"/>
              <w:left w:type="dxa" w:w="100"/>
              <w:bottom w:type="dxa" w:w="60"/>
              <w:right w:type="dxa" w:w="100"/>
            </w:tcMar>
            <w:vAlign w:val="center"/>
          </w:tcPr>
          <w:p>
            <w:r>
              <w:rPr>
                <w:b w:val="false"/>
                <w:bCs w:val="false"/>
                <w:sz w:val="19"/>
                <w:szCs w:val="19"/>
              </w:rPr>
              <w:t xml:space="preserve">11.35.44.3</w:t>
            </w:r>
          </w:p>
        </w:tc>
        <w:tc>
          <w:tcPr>
            <w:tcW w:type="dxa" w:w="2100"/>
            <w:tcMar>
              <w:top w:type="dxa" w:w="60"/>
              <w:left w:type="dxa" w:w="100"/>
              <w:bottom w:type="dxa" w:w="60"/>
              <w:right w:type="dxa" w:w="100"/>
            </w:tcMar>
            <w:vAlign w:val="center"/>
          </w:tcPr>
          <w:p>
            <w:r>
              <w:rPr>
                <w:b w:val="false"/>
                <w:bCs w:val="false"/>
                <w:sz w:val="19"/>
                <w:szCs w:val="19"/>
              </w:rPr>
              <w:t xml:space="preserve">255.255.255.0</w:t>
            </w:r>
          </w:p>
        </w:tc>
        <w:tc>
          <w:tcPr>
            <w:tcW w:type="dxa" w:w="1900"/>
            <w:tcMar>
              <w:top w:type="dxa" w:w="60"/>
              <w:left w:type="dxa" w:w="100"/>
              <w:bottom w:type="dxa" w:w="60"/>
              <w:right w:type="dxa" w:w="100"/>
            </w:tcMar>
            <w:vAlign w:val="center"/>
          </w:tcPr>
          <w:p>
            <w:r>
              <w:rPr>
                <w:b w:val="false"/>
                <w:bCs w:val="false"/>
                <w:sz w:val="19"/>
                <w:szCs w:val="19"/>
              </w:rPr>
              <w:t xml:space="preserve">11.35.44.1</w:t>
            </w:r>
          </w:p>
        </w:tc>
        <w:tc>
          <w:tcPr>
            <w:tcW w:type="dxa" w:w="1960"/>
            <w:tcMar>
              <w:top w:type="dxa" w:w="60"/>
              <w:left w:type="dxa" w:w="100"/>
              <w:bottom w:type="dxa" w:w="60"/>
              <w:right w:type="dxa" w:w="100"/>
            </w:tcMar>
            <w:vAlign w:val="center"/>
          </w:tcPr>
          <w:p>
            <w:r>
              <w:rPr>
                <w:b w:val="false"/>
                <w:bCs w:val="false"/>
                <w:sz w:val="19"/>
                <w:szCs w:val="19"/>
              </w:rPr>
              <w:t xml:space="preserve">11.35.0.2</w:t>
            </w:r>
          </w:p>
        </w:tc>
      </w:tr>
      <w:tr>
        <w:tc>
          <w:tcPr>
            <w:tcW w:type="dxa" w:w="1600"/>
            <w:tcMar>
              <w:top w:type="dxa" w:w="60"/>
              <w:left w:type="dxa" w:w="100"/>
              <w:bottom w:type="dxa" w:w="60"/>
              <w:right w:type="dxa" w:w="100"/>
            </w:tcMar>
            <w:vAlign w:val="center"/>
          </w:tcPr>
          <w:p>
            <w:r>
              <w:rPr>
                <w:b w:val="false"/>
                <w:bCs w:val="false"/>
                <w:sz w:val="19"/>
                <w:szCs w:val="19"/>
              </w:rPr>
              <w:t xml:space="preserve">FRH-SRV</w:t>
            </w:r>
          </w:p>
        </w:tc>
        <w:tc>
          <w:tcPr>
            <w:tcW w:type="dxa" w:w="1800"/>
            <w:tcMar>
              <w:top w:type="dxa" w:w="60"/>
              <w:left w:type="dxa" w:w="100"/>
              <w:bottom w:type="dxa" w:w="60"/>
              <w:right w:type="dxa" w:w="100"/>
            </w:tcMar>
            <w:vAlign w:val="center"/>
          </w:tcPr>
          <w:p>
            <w:r>
              <w:rPr>
                <w:b w:val="false"/>
                <w:bCs w:val="false"/>
                <w:sz w:val="19"/>
                <w:szCs w:val="19"/>
              </w:rPr>
              <w:t xml:space="preserve">11.35.42.2</w:t>
            </w:r>
          </w:p>
        </w:tc>
        <w:tc>
          <w:tcPr>
            <w:tcW w:type="dxa" w:w="2100"/>
            <w:tcMar>
              <w:top w:type="dxa" w:w="60"/>
              <w:left w:type="dxa" w:w="100"/>
              <w:bottom w:type="dxa" w:w="60"/>
              <w:right w:type="dxa" w:w="100"/>
            </w:tcMar>
            <w:vAlign w:val="center"/>
          </w:tcPr>
          <w:p>
            <w:r>
              <w:rPr>
                <w:b w:val="false"/>
                <w:bCs w:val="false"/>
                <w:sz w:val="19"/>
                <w:szCs w:val="19"/>
              </w:rPr>
              <w:t xml:space="preserve">255.255.254.0</w:t>
            </w:r>
          </w:p>
        </w:tc>
        <w:tc>
          <w:tcPr>
            <w:tcW w:type="dxa" w:w="1900"/>
            <w:tcMar>
              <w:top w:type="dxa" w:w="60"/>
              <w:left w:type="dxa" w:w="100"/>
              <w:bottom w:type="dxa" w:w="60"/>
              <w:right w:type="dxa" w:w="100"/>
            </w:tcMar>
            <w:vAlign w:val="center"/>
          </w:tcPr>
          <w:p>
            <w:r>
              <w:rPr>
                <w:b w:val="false"/>
                <w:bCs w:val="false"/>
                <w:sz w:val="19"/>
                <w:szCs w:val="19"/>
              </w:rPr>
              <w:t xml:space="preserve">11.35.42.1</w:t>
            </w:r>
          </w:p>
        </w:tc>
        <w:tc>
          <w:tcPr>
            <w:tcW w:type="dxa" w:w="1960"/>
            <w:tcMar>
              <w:top w:type="dxa" w:w="60"/>
              <w:left w:type="dxa" w:w="100"/>
              <w:bottom w:type="dxa" w:w="60"/>
              <w:right w:type="dxa" w:w="100"/>
            </w:tcMar>
            <w:vAlign w:val="center"/>
          </w:tcPr>
          <w:p>
            <w:r>
              <w:rPr>
                <w:b w:val="false"/>
                <w:bCs w:val="false"/>
                <w:sz w:val="19"/>
                <w:szCs w:val="19"/>
              </w:rPr>
              <w:t xml:space="preserve">11.35.0.2</w:t>
            </w:r>
          </w:p>
        </w:tc>
      </w:tr>
      <w:tr>
        <w:tc>
          <w:tcPr>
            <w:tcW w:type="dxa" w:w="1600"/>
            <w:tcMar>
              <w:top w:type="dxa" w:w="60"/>
              <w:left w:type="dxa" w:w="100"/>
              <w:bottom w:type="dxa" w:w="60"/>
              <w:right w:type="dxa" w:w="100"/>
            </w:tcMar>
            <w:vAlign w:val="center"/>
          </w:tcPr>
          <w:p>
            <w:r>
              <w:rPr>
                <w:b w:val="false"/>
                <w:bCs w:val="false"/>
                <w:sz w:val="19"/>
                <w:szCs w:val="19"/>
              </w:rPr>
              <w:t xml:space="preserve">FRH-PRN</w:t>
            </w:r>
          </w:p>
        </w:tc>
        <w:tc>
          <w:tcPr>
            <w:tcW w:type="dxa" w:w="1800"/>
            <w:tcMar>
              <w:top w:type="dxa" w:w="60"/>
              <w:left w:type="dxa" w:w="100"/>
              <w:bottom w:type="dxa" w:w="60"/>
              <w:right w:type="dxa" w:w="100"/>
            </w:tcMar>
            <w:vAlign w:val="center"/>
          </w:tcPr>
          <w:p>
            <w:r>
              <w:rPr>
                <w:b w:val="false"/>
                <w:bCs w:val="false"/>
                <w:sz w:val="19"/>
                <w:szCs w:val="19"/>
              </w:rPr>
              <w:t xml:space="preserve">11.35.42.3</w:t>
            </w:r>
          </w:p>
        </w:tc>
        <w:tc>
          <w:tcPr>
            <w:tcW w:type="dxa" w:w="2100"/>
            <w:tcMar>
              <w:top w:type="dxa" w:w="60"/>
              <w:left w:type="dxa" w:w="100"/>
              <w:bottom w:type="dxa" w:w="60"/>
              <w:right w:type="dxa" w:w="100"/>
            </w:tcMar>
            <w:vAlign w:val="center"/>
          </w:tcPr>
          <w:p>
            <w:r>
              <w:rPr>
                <w:b w:val="false"/>
                <w:bCs w:val="false"/>
                <w:sz w:val="19"/>
                <w:szCs w:val="19"/>
              </w:rPr>
              <w:t xml:space="preserve">255.255.254.0</w:t>
            </w:r>
          </w:p>
        </w:tc>
        <w:tc>
          <w:tcPr>
            <w:tcW w:type="dxa" w:w="1900"/>
            <w:tcMar>
              <w:top w:type="dxa" w:w="60"/>
              <w:left w:type="dxa" w:w="100"/>
              <w:bottom w:type="dxa" w:w="60"/>
              <w:right w:type="dxa" w:w="100"/>
            </w:tcMar>
            <w:vAlign w:val="center"/>
          </w:tcPr>
          <w:p>
            <w:r>
              <w:rPr>
                <w:b w:val="false"/>
                <w:bCs w:val="false"/>
                <w:sz w:val="19"/>
                <w:szCs w:val="19"/>
              </w:rPr>
              <w:t xml:space="preserve">11.35.42.1</w:t>
            </w:r>
          </w:p>
        </w:tc>
        <w:tc>
          <w:tcPr>
            <w:tcW w:type="dxa" w:w="1960"/>
            <w:tcMar>
              <w:top w:type="dxa" w:w="60"/>
              <w:left w:type="dxa" w:w="100"/>
              <w:bottom w:type="dxa" w:w="60"/>
              <w:right w:type="dxa" w:w="100"/>
            </w:tcMar>
            <w:vAlign w:val="center"/>
          </w:tcPr>
          <w:p>
            <w:r>
              <w:rPr>
                <w:b w:val="false"/>
                <w:bCs w:val="false"/>
                <w:sz w:val="19"/>
                <w:szCs w:val="19"/>
              </w:rPr>
              <w:t xml:space="preserve">11.35.0.2</w:t>
            </w:r>
          </w:p>
        </w:tc>
      </w:tr>
      <w:tr>
        <w:tc>
          <w:tcPr>
            <w:tcW w:type="dxa" w:w="1600"/>
            <w:tcMar>
              <w:top w:type="dxa" w:w="60"/>
              <w:left w:type="dxa" w:w="100"/>
              <w:bottom w:type="dxa" w:w="60"/>
              <w:right w:type="dxa" w:w="100"/>
            </w:tcMar>
            <w:vAlign w:val="center"/>
          </w:tcPr>
          <w:p>
            <w:r>
              <w:rPr>
                <w:b w:val="false"/>
                <w:bCs w:val="false"/>
                <w:sz w:val="19"/>
                <w:szCs w:val="19"/>
              </w:rPr>
              <w:t xml:space="preserve">MEC-SRV</w:t>
            </w:r>
          </w:p>
        </w:tc>
        <w:tc>
          <w:tcPr>
            <w:tcW w:type="dxa" w:w="1800"/>
            <w:tcMar>
              <w:top w:type="dxa" w:w="60"/>
              <w:left w:type="dxa" w:w="100"/>
              <w:bottom w:type="dxa" w:w="60"/>
              <w:right w:type="dxa" w:w="100"/>
            </w:tcMar>
            <w:vAlign w:val="center"/>
          </w:tcPr>
          <w:p>
            <w:r>
              <w:rPr>
                <w:b w:val="false"/>
                <w:bCs w:val="false"/>
                <w:sz w:val="19"/>
                <w:szCs w:val="19"/>
              </w:rPr>
              <w:t xml:space="preserve">11.35.40.2</w:t>
            </w:r>
          </w:p>
        </w:tc>
        <w:tc>
          <w:tcPr>
            <w:tcW w:type="dxa" w:w="2100"/>
            <w:tcMar>
              <w:top w:type="dxa" w:w="60"/>
              <w:left w:type="dxa" w:w="100"/>
              <w:bottom w:type="dxa" w:w="60"/>
              <w:right w:type="dxa" w:w="100"/>
            </w:tcMar>
            <w:vAlign w:val="center"/>
          </w:tcPr>
          <w:p>
            <w:r>
              <w:rPr>
                <w:b w:val="false"/>
                <w:bCs w:val="false"/>
                <w:sz w:val="19"/>
                <w:szCs w:val="19"/>
              </w:rPr>
              <w:t xml:space="preserve">255.255.254.0</w:t>
            </w:r>
          </w:p>
        </w:tc>
        <w:tc>
          <w:tcPr>
            <w:tcW w:type="dxa" w:w="1900"/>
            <w:tcMar>
              <w:top w:type="dxa" w:w="60"/>
              <w:left w:type="dxa" w:w="100"/>
              <w:bottom w:type="dxa" w:w="60"/>
              <w:right w:type="dxa" w:w="100"/>
            </w:tcMar>
            <w:vAlign w:val="center"/>
          </w:tcPr>
          <w:p>
            <w:r>
              <w:rPr>
                <w:b w:val="false"/>
                <w:bCs w:val="false"/>
                <w:sz w:val="19"/>
                <w:szCs w:val="19"/>
              </w:rPr>
              <w:t xml:space="preserve">11.35.40.1</w:t>
            </w:r>
          </w:p>
        </w:tc>
        <w:tc>
          <w:tcPr>
            <w:tcW w:type="dxa" w:w="1960"/>
            <w:tcMar>
              <w:top w:type="dxa" w:w="60"/>
              <w:left w:type="dxa" w:w="100"/>
              <w:bottom w:type="dxa" w:w="60"/>
              <w:right w:type="dxa" w:w="100"/>
            </w:tcMar>
            <w:vAlign w:val="center"/>
          </w:tcPr>
          <w:p>
            <w:r>
              <w:rPr>
                <w:b w:val="false"/>
                <w:bCs w:val="false"/>
                <w:sz w:val="19"/>
                <w:szCs w:val="19"/>
              </w:rPr>
              <w:t xml:space="preserve">11.35.0.2</w:t>
            </w:r>
          </w:p>
        </w:tc>
      </w:tr>
      <w:tr>
        <w:tc>
          <w:tcPr>
            <w:tcW w:type="dxa" w:w="1600"/>
            <w:tcMar>
              <w:top w:type="dxa" w:w="60"/>
              <w:left w:type="dxa" w:w="100"/>
              <w:bottom w:type="dxa" w:w="60"/>
              <w:right w:type="dxa" w:w="100"/>
            </w:tcMar>
            <w:vAlign w:val="center"/>
          </w:tcPr>
          <w:p>
            <w:r>
              <w:rPr>
                <w:b w:val="false"/>
                <w:bCs w:val="false"/>
                <w:sz w:val="19"/>
                <w:szCs w:val="19"/>
              </w:rPr>
              <w:t xml:space="preserve">MEC-PRN</w:t>
            </w:r>
          </w:p>
        </w:tc>
        <w:tc>
          <w:tcPr>
            <w:tcW w:type="dxa" w:w="1800"/>
            <w:tcMar>
              <w:top w:type="dxa" w:w="60"/>
              <w:left w:type="dxa" w:w="100"/>
              <w:bottom w:type="dxa" w:w="60"/>
              <w:right w:type="dxa" w:w="100"/>
            </w:tcMar>
            <w:vAlign w:val="center"/>
          </w:tcPr>
          <w:p>
            <w:r>
              <w:rPr>
                <w:b w:val="false"/>
                <w:bCs w:val="false"/>
                <w:sz w:val="19"/>
                <w:szCs w:val="19"/>
              </w:rPr>
              <w:t xml:space="preserve">11.35.40.3</w:t>
            </w:r>
          </w:p>
        </w:tc>
        <w:tc>
          <w:tcPr>
            <w:tcW w:type="dxa" w:w="2100"/>
            <w:tcMar>
              <w:top w:type="dxa" w:w="60"/>
              <w:left w:type="dxa" w:w="100"/>
              <w:bottom w:type="dxa" w:w="60"/>
              <w:right w:type="dxa" w:w="100"/>
            </w:tcMar>
            <w:vAlign w:val="center"/>
          </w:tcPr>
          <w:p>
            <w:r>
              <w:rPr>
                <w:b w:val="false"/>
                <w:bCs w:val="false"/>
                <w:sz w:val="19"/>
                <w:szCs w:val="19"/>
              </w:rPr>
              <w:t xml:space="preserve">255.255.254.0</w:t>
            </w:r>
          </w:p>
        </w:tc>
        <w:tc>
          <w:tcPr>
            <w:tcW w:type="dxa" w:w="1900"/>
            <w:tcMar>
              <w:top w:type="dxa" w:w="60"/>
              <w:left w:type="dxa" w:w="100"/>
              <w:bottom w:type="dxa" w:w="60"/>
              <w:right w:type="dxa" w:w="100"/>
            </w:tcMar>
            <w:vAlign w:val="center"/>
          </w:tcPr>
          <w:p>
            <w:r>
              <w:rPr>
                <w:b w:val="false"/>
                <w:bCs w:val="false"/>
                <w:sz w:val="19"/>
                <w:szCs w:val="19"/>
              </w:rPr>
              <w:t xml:space="preserve">11.35.40.1</w:t>
            </w:r>
          </w:p>
        </w:tc>
        <w:tc>
          <w:tcPr>
            <w:tcW w:type="dxa" w:w="1960"/>
            <w:tcMar>
              <w:top w:type="dxa" w:w="60"/>
              <w:left w:type="dxa" w:w="100"/>
              <w:bottom w:type="dxa" w:w="60"/>
              <w:right w:type="dxa" w:w="100"/>
            </w:tcMar>
            <w:vAlign w:val="center"/>
          </w:tcPr>
          <w:p>
            <w:r>
              <w:rPr>
                <w:b w:val="false"/>
                <w:bCs w:val="false"/>
                <w:sz w:val="19"/>
                <w:szCs w:val="19"/>
              </w:rPr>
              <w:t xml:space="preserve">11.35.0.2</w:t>
            </w:r>
          </w:p>
        </w:tc>
      </w:tr>
      <w:tr>
        <w:tc>
          <w:tcPr>
            <w:tcW w:type="dxa" w:w="1600"/>
            <w:tcMar>
              <w:top w:type="dxa" w:w="60"/>
              <w:left w:type="dxa" w:w="100"/>
              <w:bottom w:type="dxa" w:w="60"/>
              <w:right w:type="dxa" w:w="100"/>
            </w:tcMar>
            <w:vAlign w:val="center"/>
          </w:tcPr>
          <w:p>
            <w:r>
              <w:rPr>
                <w:b w:val="false"/>
                <w:bCs w:val="false"/>
                <w:sz w:val="19"/>
                <w:szCs w:val="19"/>
              </w:rPr>
              <w:t xml:space="preserve">USR-SRV</w:t>
            </w:r>
          </w:p>
        </w:tc>
        <w:tc>
          <w:tcPr>
            <w:tcW w:type="dxa" w:w="1800"/>
            <w:tcMar>
              <w:top w:type="dxa" w:w="60"/>
              <w:left w:type="dxa" w:w="100"/>
              <w:bottom w:type="dxa" w:w="60"/>
              <w:right w:type="dxa" w:w="100"/>
            </w:tcMar>
            <w:vAlign w:val="center"/>
          </w:tcPr>
          <w:p>
            <w:r>
              <w:rPr>
                <w:b w:val="false"/>
                <w:bCs w:val="false"/>
                <w:sz w:val="19"/>
                <w:szCs w:val="19"/>
              </w:rPr>
              <w:t xml:space="preserve">11.35.32.2</w:t>
            </w:r>
          </w:p>
        </w:tc>
        <w:tc>
          <w:tcPr>
            <w:tcW w:type="dxa" w:w="2100"/>
            <w:tcMar>
              <w:top w:type="dxa" w:w="60"/>
              <w:left w:type="dxa" w:w="100"/>
              <w:bottom w:type="dxa" w:w="60"/>
              <w:right w:type="dxa" w:w="100"/>
            </w:tcMar>
            <w:vAlign w:val="center"/>
          </w:tcPr>
          <w:p>
            <w:r>
              <w:rPr>
                <w:b w:val="false"/>
                <w:bCs w:val="false"/>
                <w:sz w:val="19"/>
                <w:szCs w:val="19"/>
              </w:rPr>
              <w:t xml:space="preserve">255.255.248.0</w:t>
            </w:r>
          </w:p>
        </w:tc>
        <w:tc>
          <w:tcPr>
            <w:tcW w:type="dxa" w:w="1900"/>
            <w:tcMar>
              <w:top w:type="dxa" w:w="60"/>
              <w:left w:type="dxa" w:w="100"/>
              <w:bottom w:type="dxa" w:w="60"/>
              <w:right w:type="dxa" w:w="100"/>
            </w:tcMar>
            <w:vAlign w:val="center"/>
          </w:tcPr>
          <w:p>
            <w:r>
              <w:rPr>
                <w:b w:val="false"/>
                <w:bCs w:val="false"/>
                <w:sz w:val="19"/>
                <w:szCs w:val="19"/>
              </w:rPr>
              <w:t xml:space="preserve">11.35.32.1</w:t>
            </w:r>
          </w:p>
        </w:tc>
        <w:tc>
          <w:tcPr>
            <w:tcW w:type="dxa" w:w="1960"/>
            <w:tcMar>
              <w:top w:type="dxa" w:w="60"/>
              <w:left w:type="dxa" w:w="100"/>
              <w:bottom w:type="dxa" w:w="60"/>
              <w:right w:type="dxa" w:w="100"/>
            </w:tcMar>
            <w:vAlign w:val="center"/>
          </w:tcPr>
          <w:p>
            <w:r>
              <w:rPr>
                <w:b w:val="false"/>
                <w:bCs w:val="false"/>
                <w:sz w:val="19"/>
                <w:szCs w:val="19"/>
              </w:rPr>
              <w:t xml:space="preserve">11.35.0.2</w:t>
            </w:r>
          </w:p>
        </w:tc>
      </w:tr>
      <w:tr>
        <w:tc>
          <w:tcPr>
            <w:tcW w:type="dxa" w:w="1600"/>
            <w:tcMar>
              <w:top w:type="dxa" w:w="60"/>
              <w:left w:type="dxa" w:w="100"/>
              <w:bottom w:type="dxa" w:w="60"/>
              <w:right w:type="dxa" w:w="100"/>
            </w:tcMar>
            <w:vAlign w:val="center"/>
          </w:tcPr>
          <w:p>
            <w:r>
              <w:rPr>
                <w:b w:val="false"/>
                <w:bCs w:val="false"/>
                <w:sz w:val="19"/>
                <w:szCs w:val="19"/>
              </w:rPr>
              <w:t xml:space="preserve">USR-PRN</w:t>
            </w:r>
          </w:p>
        </w:tc>
        <w:tc>
          <w:tcPr>
            <w:tcW w:type="dxa" w:w="1800"/>
            <w:tcMar>
              <w:top w:type="dxa" w:w="60"/>
              <w:left w:type="dxa" w:w="100"/>
              <w:bottom w:type="dxa" w:w="60"/>
              <w:right w:type="dxa" w:w="100"/>
            </w:tcMar>
            <w:vAlign w:val="center"/>
          </w:tcPr>
          <w:p>
            <w:r>
              <w:rPr>
                <w:b w:val="false"/>
                <w:bCs w:val="false"/>
                <w:sz w:val="19"/>
                <w:szCs w:val="19"/>
              </w:rPr>
              <w:t xml:space="preserve">11.35.32.3</w:t>
            </w:r>
          </w:p>
        </w:tc>
        <w:tc>
          <w:tcPr>
            <w:tcW w:type="dxa" w:w="2100"/>
            <w:tcMar>
              <w:top w:type="dxa" w:w="60"/>
              <w:left w:type="dxa" w:w="100"/>
              <w:bottom w:type="dxa" w:w="60"/>
              <w:right w:type="dxa" w:w="100"/>
            </w:tcMar>
            <w:vAlign w:val="center"/>
          </w:tcPr>
          <w:p>
            <w:r>
              <w:rPr>
                <w:b w:val="false"/>
                <w:bCs w:val="false"/>
                <w:sz w:val="19"/>
                <w:szCs w:val="19"/>
              </w:rPr>
              <w:t xml:space="preserve">255.255.248.0</w:t>
            </w:r>
          </w:p>
        </w:tc>
        <w:tc>
          <w:tcPr>
            <w:tcW w:type="dxa" w:w="1900"/>
            <w:tcMar>
              <w:top w:type="dxa" w:w="60"/>
              <w:left w:type="dxa" w:w="100"/>
              <w:bottom w:type="dxa" w:w="60"/>
              <w:right w:type="dxa" w:w="100"/>
            </w:tcMar>
            <w:vAlign w:val="center"/>
          </w:tcPr>
          <w:p>
            <w:r>
              <w:rPr>
                <w:b w:val="false"/>
                <w:bCs w:val="false"/>
                <w:sz w:val="19"/>
                <w:szCs w:val="19"/>
              </w:rPr>
              <w:t xml:space="preserve">11.35.32.1</w:t>
            </w:r>
          </w:p>
        </w:tc>
        <w:tc>
          <w:tcPr>
            <w:tcW w:type="dxa" w:w="1960"/>
            <w:tcMar>
              <w:top w:type="dxa" w:w="60"/>
              <w:left w:type="dxa" w:w="100"/>
              <w:bottom w:type="dxa" w:w="60"/>
              <w:right w:type="dxa" w:w="100"/>
            </w:tcMar>
            <w:vAlign w:val="center"/>
          </w:tcPr>
          <w:p>
            <w:r>
              <w:rPr>
                <w:b w:val="false"/>
                <w:bCs w:val="false"/>
                <w:sz w:val="19"/>
                <w:szCs w:val="19"/>
              </w:rPr>
              <w:t xml:space="preserve">11.35.0.2</w:t>
            </w:r>
          </w:p>
        </w:tc>
      </w:tr>
      <w:tr>
        <w:tc>
          <w:tcPr>
            <w:tcW w:type="dxa" w:w="1600"/>
            <w:tcMar>
              <w:top w:type="dxa" w:w="60"/>
              <w:left w:type="dxa" w:w="100"/>
              <w:bottom w:type="dxa" w:w="60"/>
              <w:right w:type="dxa" w:w="100"/>
            </w:tcMar>
            <w:vAlign w:val="center"/>
          </w:tcPr>
          <w:p>
            <w:r>
              <w:rPr>
                <w:b w:val="false"/>
                <w:bCs w:val="false"/>
                <w:sz w:val="19"/>
                <w:szCs w:val="19"/>
              </w:rPr>
              <w:t xml:space="preserve">CRC-SRV</w:t>
            </w:r>
          </w:p>
        </w:tc>
        <w:tc>
          <w:tcPr>
            <w:tcW w:type="dxa" w:w="1800"/>
            <w:tcMar>
              <w:top w:type="dxa" w:w="60"/>
              <w:left w:type="dxa" w:w="100"/>
              <w:bottom w:type="dxa" w:w="60"/>
              <w:right w:type="dxa" w:w="100"/>
            </w:tcMar>
            <w:vAlign w:val="center"/>
          </w:tcPr>
          <w:p>
            <w:r>
              <w:rPr>
                <w:b w:val="false"/>
                <w:bCs w:val="false"/>
                <w:sz w:val="19"/>
                <w:szCs w:val="19"/>
              </w:rPr>
              <w:t xml:space="preserve">11.35.45.2</w:t>
            </w:r>
          </w:p>
        </w:tc>
        <w:tc>
          <w:tcPr>
            <w:tcW w:type="dxa" w:w="2100"/>
            <w:tcMar>
              <w:top w:type="dxa" w:w="60"/>
              <w:left w:type="dxa" w:w="100"/>
              <w:bottom w:type="dxa" w:w="60"/>
              <w:right w:type="dxa" w:w="100"/>
            </w:tcMar>
            <w:vAlign w:val="center"/>
          </w:tcPr>
          <w:p>
            <w:r>
              <w:rPr>
                <w:b w:val="false"/>
                <w:bCs w:val="false"/>
                <w:sz w:val="19"/>
                <w:szCs w:val="19"/>
              </w:rPr>
              <w:t xml:space="preserve">255.255.255.128</w:t>
            </w:r>
          </w:p>
        </w:tc>
        <w:tc>
          <w:tcPr>
            <w:tcW w:type="dxa" w:w="1900"/>
            <w:tcMar>
              <w:top w:type="dxa" w:w="60"/>
              <w:left w:type="dxa" w:w="100"/>
              <w:bottom w:type="dxa" w:w="60"/>
              <w:right w:type="dxa" w:w="100"/>
            </w:tcMar>
            <w:vAlign w:val="center"/>
          </w:tcPr>
          <w:p>
            <w:r>
              <w:rPr>
                <w:b w:val="false"/>
                <w:bCs w:val="false"/>
                <w:sz w:val="19"/>
                <w:szCs w:val="19"/>
              </w:rPr>
              <w:t xml:space="preserve">11.35.45.1</w:t>
            </w:r>
          </w:p>
        </w:tc>
        <w:tc>
          <w:tcPr>
            <w:tcW w:type="dxa" w:w="1960"/>
            <w:tcMar>
              <w:top w:type="dxa" w:w="60"/>
              <w:left w:type="dxa" w:w="100"/>
              <w:bottom w:type="dxa" w:w="60"/>
              <w:right w:type="dxa" w:w="100"/>
            </w:tcMar>
            <w:vAlign w:val="center"/>
          </w:tcPr>
          <w:p>
            <w:r>
              <w:rPr>
                <w:b w:val="false"/>
                <w:bCs w:val="false"/>
                <w:sz w:val="19"/>
                <w:szCs w:val="19"/>
              </w:rPr>
              <w:t xml:space="preserve">11.35.0.2</w:t>
            </w:r>
          </w:p>
        </w:tc>
      </w:tr>
      <w:tr>
        <w:tc>
          <w:tcPr>
            <w:tcW w:type="dxa" w:w="1600"/>
            <w:tcMar>
              <w:top w:type="dxa" w:w="60"/>
              <w:left w:type="dxa" w:w="100"/>
              <w:bottom w:type="dxa" w:w="60"/>
              <w:right w:type="dxa" w:w="100"/>
            </w:tcMar>
            <w:vAlign w:val="center"/>
          </w:tcPr>
          <w:p>
            <w:r>
              <w:rPr>
                <w:b w:val="false"/>
                <w:bCs w:val="false"/>
                <w:sz w:val="19"/>
                <w:szCs w:val="19"/>
              </w:rPr>
              <w:t xml:space="preserve">CRC-PRN</w:t>
            </w:r>
          </w:p>
        </w:tc>
        <w:tc>
          <w:tcPr>
            <w:tcW w:type="dxa" w:w="1800"/>
            <w:tcMar>
              <w:top w:type="dxa" w:w="60"/>
              <w:left w:type="dxa" w:w="100"/>
              <w:bottom w:type="dxa" w:w="60"/>
              <w:right w:type="dxa" w:w="100"/>
            </w:tcMar>
            <w:vAlign w:val="center"/>
          </w:tcPr>
          <w:p>
            <w:r>
              <w:rPr>
                <w:b w:val="false"/>
                <w:bCs w:val="false"/>
                <w:sz w:val="19"/>
                <w:szCs w:val="19"/>
              </w:rPr>
              <w:t xml:space="preserve">11.35.45.3</w:t>
            </w:r>
          </w:p>
        </w:tc>
        <w:tc>
          <w:tcPr>
            <w:tcW w:type="dxa" w:w="2100"/>
            <w:tcMar>
              <w:top w:type="dxa" w:w="60"/>
              <w:left w:type="dxa" w:w="100"/>
              <w:bottom w:type="dxa" w:w="60"/>
              <w:right w:type="dxa" w:w="100"/>
            </w:tcMar>
            <w:vAlign w:val="center"/>
          </w:tcPr>
          <w:p>
            <w:r>
              <w:rPr>
                <w:b w:val="false"/>
                <w:bCs w:val="false"/>
                <w:sz w:val="19"/>
                <w:szCs w:val="19"/>
              </w:rPr>
              <w:t xml:space="preserve">255.255.255.128</w:t>
            </w:r>
          </w:p>
        </w:tc>
        <w:tc>
          <w:tcPr>
            <w:tcW w:type="dxa" w:w="1900"/>
            <w:tcMar>
              <w:top w:type="dxa" w:w="60"/>
              <w:left w:type="dxa" w:w="100"/>
              <w:bottom w:type="dxa" w:w="60"/>
              <w:right w:type="dxa" w:w="100"/>
            </w:tcMar>
            <w:vAlign w:val="center"/>
          </w:tcPr>
          <w:p>
            <w:r>
              <w:rPr>
                <w:b w:val="false"/>
                <w:bCs w:val="false"/>
                <w:sz w:val="19"/>
                <w:szCs w:val="19"/>
              </w:rPr>
              <w:t xml:space="preserve">11.35.45.1</w:t>
            </w:r>
          </w:p>
        </w:tc>
        <w:tc>
          <w:tcPr>
            <w:tcW w:type="dxa" w:w="1960"/>
            <w:tcMar>
              <w:top w:type="dxa" w:w="60"/>
              <w:left w:type="dxa" w:w="100"/>
              <w:bottom w:type="dxa" w:w="60"/>
              <w:right w:type="dxa" w:w="100"/>
            </w:tcMar>
            <w:vAlign w:val="center"/>
          </w:tcPr>
          <w:p>
            <w:r>
              <w:rPr>
                <w:b w:val="false"/>
                <w:bCs w:val="false"/>
                <w:sz w:val="19"/>
                <w:szCs w:val="19"/>
              </w:rPr>
              <w:t xml:space="preserve">11.35.0.2</w:t>
            </w:r>
          </w:p>
        </w:tc>
      </w:tr>
      <w:tr>
        <w:tc>
          <w:tcPr>
            <w:tcW w:type="dxa" w:w="1600"/>
            <w:tcMar>
              <w:top w:type="dxa" w:w="60"/>
              <w:left w:type="dxa" w:w="100"/>
              <w:bottom w:type="dxa" w:w="60"/>
              <w:right w:type="dxa" w:w="100"/>
            </w:tcMar>
            <w:vAlign w:val="center"/>
          </w:tcPr>
          <w:p>
            <w:r>
              <w:rPr>
                <w:b w:val="false"/>
                <w:bCs w:val="false"/>
                <w:sz w:val="19"/>
                <w:szCs w:val="19"/>
              </w:rPr>
              <w:t xml:space="preserve">MOP-SRV</w:t>
            </w:r>
          </w:p>
        </w:tc>
        <w:tc>
          <w:tcPr>
            <w:tcW w:type="dxa" w:w="1800"/>
            <w:tcMar>
              <w:top w:type="dxa" w:w="60"/>
              <w:left w:type="dxa" w:w="100"/>
              <w:bottom w:type="dxa" w:w="60"/>
              <w:right w:type="dxa" w:w="100"/>
            </w:tcMar>
            <w:vAlign w:val="center"/>
          </w:tcPr>
          <w:p>
            <w:r>
              <w:rPr>
                <w:b w:val="false"/>
                <w:bCs w:val="false"/>
                <w:sz w:val="19"/>
                <w:szCs w:val="19"/>
              </w:rPr>
              <w:t xml:space="preserve">11.35.45.130</w:t>
            </w:r>
          </w:p>
        </w:tc>
        <w:tc>
          <w:tcPr>
            <w:tcW w:type="dxa" w:w="2100"/>
            <w:tcMar>
              <w:top w:type="dxa" w:w="60"/>
              <w:left w:type="dxa" w:w="100"/>
              <w:bottom w:type="dxa" w:w="60"/>
              <w:right w:type="dxa" w:w="100"/>
            </w:tcMar>
            <w:vAlign w:val="center"/>
          </w:tcPr>
          <w:p>
            <w:r>
              <w:rPr>
                <w:b w:val="false"/>
                <w:bCs w:val="false"/>
                <w:sz w:val="19"/>
                <w:szCs w:val="19"/>
              </w:rPr>
              <w:t xml:space="preserve">255.255.255.192</w:t>
            </w:r>
          </w:p>
        </w:tc>
        <w:tc>
          <w:tcPr>
            <w:tcW w:type="dxa" w:w="1900"/>
            <w:tcMar>
              <w:top w:type="dxa" w:w="60"/>
              <w:left w:type="dxa" w:w="100"/>
              <w:bottom w:type="dxa" w:w="60"/>
              <w:right w:type="dxa" w:w="100"/>
            </w:tcMar>
            <w:vAlign w:val="center"/>
          </w:tcPr>
          <w:p>
            <w:r>
              <w:rPr>
                <w:b w:val="false"/>
                <w:bCs w:val="false"/>
                <w:sz w:val="19"/>
                <w:szCs w:val="19"/>
              </w:rPr>
              <w:t xml:space="preserve">11.35.45.129</w:t>
            </w:r>
          </w:p>
        </w:tc>
        <w:tc>
          <w:tcPr>
            <w:tcW w:type="dxa" w:w="1960"/>
            <w:tcMar>
              <w:top w:type="dxa" w:w="60"/>
              <w:left w:type="dxa" w:w="100"/>
              <w:bottom w:type="dxa" w:w="60"/>
              <w:right w:type="dxa" w:w="100"/>
            </w:tcMar>
            <w:vAlign w:val="center"/>
          </w:tcPr>
          <w:p>
            <w:r>
              <w:rPr>
                <w:b w:val="false"/>
                <w:bCs w:val="false"/>
                <w:sz w:val="19"/>
                <w:szCs w:val="19"/>
              </w:rPr>
              <w:t xml:space="preserve">11.35.0.2</w:t>
            </w:r>
          </w:p>
        </w:tc>
      </w:tr>
      <w:tr>
        <w:tc>
          <w:tcPr>
            <w:tcW w:type="dxa" w:w="1600"/>
            <w:tcMar>
              <w:top w:type="dxa" w:w="60"/>
              <w:left w:type="dxa" w:w="100"/>
              <w:bottom w:type="dxa" w:w="60"/>
              <w:right w:type="dxa" w:w="100"/>
            </w:tcMar>
            <w:vAlign w:val="center"/>
          </w:tcPr>
          <w:p>
            <w:r>
              <w:rPr>
                <w:b w:val="false"/>
                <w:bCs w:val="false"/>
                <w:sz w:val="19"/>
                <w:szCs w:val="19"/>
              </w:rPr>
              <w:t xml:space="preserve">MOP-PRN</w:t>
            </w:r>
          </w:p>
        </w:tc>
        <w:tc>
          <w:tcPr>
            <w:tcW w:type="dxa" w:w="1800"/>
            <w:tcMar>
              <w:top w:type="dxa" w:w="60"/>
              <w:left w:type="dxa" w:w="100"/>
              <w:bottom w:type="dxa" w:w="60"/>
              <w:right w:type="dxa" w:w="100"/>
            </w:tcMar>
            <w:vAlign w:val="center"/>
          </w:tcPr>
          <w:p>
            <w:r>
              <w:rPr>
                <w:b w:val="false"/>
                <w:bCs w:val="false"/>
                <w:sz w:val="19"/>
                <w:szCs w:val="19"/>
              </w:rPr>
              <w:t xml:space="preserve">11.35.45.131</w:t>
            </w:r>
          </w:p>
        </w:tc>
        <w:tc>
          <w:tcPr>
            <w:tcW w:type="dxa" w:w="2100"/>
            <w:tcMar>
              <w:top w:type="dxa" w:w="60"/>
              <w:left w:type="dxa" w:w="100"/>
              <w:bottom w:type="dxa" w:w="60"/>
              <w:right w:type="dxa" w:w="100"/>
            </w:tcMar>
            <w:vAlign w:val="center"/>
          </w:tcPr>
          <w:p>
            <w:r>
              <w:rPr>
                <w:b w:val="false"/>
                <w:bCs w:val="false"/>
                <w:sz w:val="19"/>
                <w:szCs w:val="19"/>
              </w:rPr>
              <w:t xml:space="preserve">255.255.255.192</w:t>
            </w:r>
          </w:p>
        </w:tc>
        <w:tc>
          <w:tcPr>
            <w:tcW w:type="dxa" w:w="1900"/>
            <w:tcMar>
              <w:top w:type="dxa" w:w="60"/>
              <w:left w:type="dxa" w:w="100"/>
              <w:bottom w:type="dxa" w:w="60"/>
              <w:right w:type="dxa" w:w="100"/>
            </w:tcMar>
            <w:vAlign w:val="center"/>
          </w:tcPr>
          <w:p>
            <w:r>
              <w:rPr>
                <w:b w:val="false"/>
                <w:bCs w:val="false"/>
                <w:sz w:val="19"/>
                <w:szCs w:val="19"/>
              </w:rPr>
              <w:t xml:space="preserve">11.35.45.129</w:t>
            </w:r>
          </w:p>
        </w:tc>
        <w:tc>
          <w:tcPr>
            <w:tcW w:type="dxa" w:w="1960"/>
            <w:tcMar>
              <w:top w:type="dxa" w:w="60"/>
              <w:left w:type="dxa" w:w="100"/>
              <w:bottom w:type="dxa" w:w="60"/>
              <w:right w:type="dxa" w:w="100"/>
            </w:tcMar>
            <w:vAlign w:val="center"/>
          </w:tcPr>
          <w:p>
            <w:r>
              <w:rPr>
                <w:b w:val="false"/>
                <w:bCs w:val="false"/>
                <w:sz w:val="19"/>
                <w:szCs w:val="19"/>
              </w:rPr>
              <w:t xml:space="preserve">11.35.0.2</w:t>
            </w:r>
          </w:p>
        </w:tc>
      </w:tr>
    </w:tbl>
    <w:p>
      <w:pPr>
        <w:spacing w:after="300" w:before="80"/>
        <w:jc w:val="center"/>
      </w:pPr>
      <w:r>
        <w:rPr>
          <w:i/>
          <w:iCs/>
          <w:color w:val="555555"/>
          <w:sz w:val="18"/>
          <w:szCs w:val="18"/>
        </w:rPr>
        <w:t xml:space="preserve">Table 2 — Static addresses for every server and printer.</w:t>
      </w:r>
    </w:p>
    <w:p>
      <w:pPr>
        <w:pStyle w:val="Heading1"/>
        <w:spacing w:after="200" w:before="400"/>
      </w:pPr>
      <w:r>
        <w:t xml:space="preserve">4. Device Inventory</w:t>
      </w:r>
    </w:p>
    <w:p>
      <w:pPr>
        <w:spacing w:after="160"/>
      </w:pPr>
      <w:r>
        <w:t xml:space="preserve">Every router is a Cisco 2911. NEOC carries two HWIC-2T serial modules (three serial links); every other router carries one (one or two serial links). All switches are 2960-series. 43 devices in total: 7 routers, 8 switches (7 LAN + 1 central), 14 PCs, 7 printers, 7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1560"/>
        <w:gridCol w:w="3000"/>
      </w:tblGrid>
      <w:tr>
        <w:trPr>
          <w:tblHeader/>
        </w:trPr>
        <w:tc>
          <w:tcPr>
            <w:tcW w:type="dxa" w:w="900"/>
            <w:shd w:fill="DCE3F7" w:val="clear"/>
            <w:tcMar>
              <w:top w:type="dxa" w:w="60"/>
              <w:left w:type="dxa" w:w="100"/>
              <w:bottom w:type="dxa" w:w="60"/>
              <w:right w:type="dxa" w:w="100"/>
            </w:tcMar>
            <w:vAlign w:val="center"/>
          </w:tcPr>
          <w:p>
            <w:r>
              <w:rPr>
                <w:b/>
                <w:bCs/>
                <w:sz w:val="19"/>
                <w:szCs w:val="19"/>
              </w:rPr>
              <w:t xml:space="preserve">Site</w:t>
            </w:r>
          </w:p>
        </w:tc>
        <w:tc>
          <w:tcPr>
            <w:tcW w:type="dxa" w:w="3900"/>
            <w:shd w:fill="DCE3F7" w:val="clear"/>
            <w:tcMar>
              <w:top w:type="dxa" w:w="60"/>
              <w:left w:type="dxa" w:w="100"/>
              <w:bottom w:type="dxa" w:w="60"/>
              <w:right w:type="dxa" w:w="100"/>
            </w:tcMar>
            <w:vAlign w:val="center"/>
          </w:tcPr>
          <w:p>
            <w:r>
              <w:rPr>
                <w:b/>
                <w:bCs/>
                <w:sz w:val="19"/>
                <w:szCs w:val="19"/>
              </w:rPr>
              <w:t xml:space="preserve">Router interfaces used</w:t>
            </w:r>
          </w:p>
        </w:tc>
        <w:tc>
          <w:tcPr>
            <w:tcW w:type="dxa" w:w="1560"/>
            <w:shd w:fill="DCE3F7" w:val="clear"/>
            <w:tcMar>
              <w:top w:type="dxa" w:w="60"/>
              <w:left w:type="dxa" w:w="100"/>
              <w:bottom w:type="dxa" w:w="60"/>
              <w:right w:type="dxa" w:w="100"/>
            </w:tcMar>
            <w:vAlign w:val="center"/>
          </w:tcPr>
          <w:p>
            <w:r>
              <w:rPr>
                <w:b/>
                <w:bCs/>
                <w:sz w:val="19"/>
                <w:szCs w:val="19"/>
              </w:rPr>
              <w:t xml:space="preserve">LAN switch</w:t>
            </w:r>
          </w:p>
        </w:tc>
        <w:tc>
          <w:tcPr>
            <w:tcW w:type="dxa" w:w="3000"/>
            <w:shd w:fill="DCE3F7" w:val="clear"/>
            <w:tcMar>
              <w:top w:type="dxa" w:w="60"/>
              <w:left w:type="dxa" w:w="100"/>
              <w:bottom w:type="dxa" w:w="60"/>
              <w:right w:type="dxa" w:w="100"/>
            </w:tcMar>
            <w:vAlign w:val="center"/>
          </w:tcPr>
          <w:p>
            <w:r>
              <w:rPr>
                <w:b/>
                <w:bCs/>
                <w:sz w:val="19"/>
                <w:szCs w:val="19"/>
              </w:rPr>
              <w:t xml:space="preserve">End devices</w:t>
            </w:r>
          </w:p>
        </w:tc>
      </w:tr>
      <w:tr>
        <w:tc>
          <w:tcPr>
            <w:tcW w:type="dxa" w:w="900"/>
            <w:tcMar>
              <w:top w:type="dxa" w:w="60"/>
              <w:left w:type="dxa" w:w="100"/>
              <w:bottom w:type="dxa" w:w="60"/>
              <w:right w:type="dxa" w:w="100"/>
            </w:tcMar>
            <w:vAlign w:val="center"/>
          </w:tcPr>
          <w:p>
            <w:r>
              <w:rPr>
                <w:b w:val="false"/>
                <w:bCs w:val="false"/>
                <w:sz w:val="19"/>
                <w:szCs w:val="19"/>
              </w:rPr>
              <w:t xml:space="preserve">NEOC</w:t>
            </w:r>
          </w:p>
        </w:tc>
        <w:tc>
          <w:tcPr>
            <w:tcW w:type="dxa" w:w="3900"/>
            <w:tcMar>
              <w:top w:type="dxa" w:w="60"/>
              <w:left w:type="dxa" w:w="100"/>
              <w:bottom w:type="dxa" w:w="60"/>
              <w:right w:type="dxa" w:w="100"/>
            </w:tcMar>
            <w:vAlign w:val="center"/>
          </w:tcPr>
          <w:p>
            <w:r>
              <w:rPr>
                <w:b w:val="false"/>
                <w:bCs w:val="false"/>
                <w:sz w:val="19"/>
                <w:szCs w:val="19"/>
              </w:rPr>
              <w:t xml:space="preserve">Gi0/0, Gi0/1, S0/1/0, S0/1/1, S0/2/0</w:t>
            </w:r>
          </w:p>
        </w:tc>
        <w:tc>
          <w:tcPr>
            <w:tcW w:type="dxa" w:w="1560"/>
            <w:tcMar>
              <w:top w:type="dxa" w:w="60"/>
              <w:left w:type="dxa" w:w="100"/>
              <w:bottom w:type="dxa" w:w="60"/>
              <w:right w:type="dxa" w:w="100"/>
            </w:tcMar>
            <w:vAlign w:val="center"/>
          </w:tcPr>
          <w:p>
            <w:r>
              <w:rPr>
                <w:b w:val="false"/>
                <w:bCs w:val="false"/>
                <w:sz w:val="19"/>
                <w:szCs w:val="19"/>
              </w:rPr>
              <w:t xml:space="preserve">NEOC-SW</w:t>
            </w:r>
          </w:p>
        </w:tc>
        <w:tc>
          <w:tcPr>
            <w:tcW w:type="dxa" w:w="3000"/>
            <w:tcMar>
              <w:top w:type="dxa" w:w="60"/>
              <w:left w:type="dxa" w:w="100"/>
              <w:bottom w:type="dxa" w:w="60"/>
              <w:right w:type="dxa" w:w="100"/>
            </w:tcMar>
            <w:vAlign w:val="center"/>
          </w:tcPr>
          <w:p>
            <w:r>
              <w:rPr>
                <w:b w:val="false"/>
                <w:bCs w:val="false"/>
                <w:sz w:val="19"/>
                <w:szCs w:val="19"/>
              </w:rPr>
              <w:t xml:space="preserve">2 PC, 1 printer, 1 server</w:t>
            </w:r>
          </w:p>
        </w:tc>
      </w:tr>
      <w:tr>
        <w:tc>
          <w:tcPr>
            <w:tcW w:type="dxa" w:w="900"/>
            <w:tcMar>
              <w:top w:type="dxa" w:w="60"/>
              <w:left w:type="dxa" w:w="100"/>
              <w:bottom w:type="dxa" w:w="60"/>
              <w:right w:type="dxa" w:w="100"/>
            </w:tcMar>
            <w:vAlign w:val="center"/>
          </w:tcPr>
          <w:p>
            <w:r>
              <w:rPr>
                <w:b w:val="false"/>
                <w:bCs w:val="false"/>
                <w:sz w:val="19"/>
                <w:szCs w:val="19"/>
              </w:rPr>
              <w:t xml:space="preserve">SMS</w:t>
            </w:r>
          </w:p>
        </w:tc>
        <w:tc>
          <w:tcPr>
            <w:tcW w:type="dxa" w:w="3900"/>
            <w:tcMar>
              <w:top w:type="dxa" w:w="60"/>
              <w:left w:type="dxa" w:w="100"/>
              <w:bottom w:type="dxa" w:w="60"/>
              <w:right w:type="dxa" w:w="100"/>
            </w:tcMar>
            <w:vAlign w:val="center"/>
          </w:tcPr>
          <w:p>
            <w:r>
              <w:rPr>
                <w:b w:val="false"/>
                <w:bCs w:val="false"/>
                <w:sz w:val="19"/>
                <w:szCs w:val="19"/>
              </w:rPr>
              <w:t xml:space="preserve">Gi0/0, S0/1/0, S0/1/1</w:t>
            </w:r>
          </w:p>
        </w:tc>
        <w:tc>
          <w:tcPr>
            <w:tcW w:type="dxa" w:w="1560"/>
            <w:tcMar>
              <w:top w:type="dxa" w:w="60"/>
              <w:left w:type="dxa" w:w="100"/>
              <w:bottom w:type="dxa" w:w="60"/>
              <w:right w:type="dxa" w:w="100"/>
            </w:tcMar>
            <w:vAlign w:val="center"/>
          </w:tcPr>
          <w:p>
            <w:r>
              <w:rPr>
                <w:b w:val="false"/>
                <w:bCs w:val="false"/>
                <w:sz w:val="19"/>
                <w:szCs w:val="19"/>
              </w:rPr>
              <w:t xml:space="preserve">SMS-SW</w:t>
            </w:r>
          </w:p>
        </w:tc>
        <w:tc>
          <w:tcPr>
            <w:tcW w:type="dxa" w:w="3000"/>
            <w:tcMar>
              <w:top w:type="dxa" w:w="60"/>
              <w:left w:type="dxa" w:w="100"/>
              <w:bottom w:type="dxa" w:w="60"/>
              <w:right w:type="dxa" w:w="100"/>
            </w:tcMar>
            <w:vAlign w:val="center"/>
          </w:tcPr>
          <w:p>
            <w:r>
              <w:rPr>
                <w:b w:val="false"/>
                <w:bCs w:val="false"/>
                <w:sz w:val="19"/>
                <w:szCs w:val="19"/>
              </w:rPr>
              <w:t xml:space="preserve">2 PC, 1 printer, 1 server</w:t>
            </w:r>
          </w:p>
        </w:tc>
      </w:tr>
      <w:tr>
        <w:tc>
          <w:tcPr>
            <w:tcW w:type="dxa" w:w="900"/>
            <w:tcMar>
              <w:top w:type="dxa" w:w="60"/>
              <w:left w:type="dxa" w:w="100"/>
              <w:bottom w:type="dxa" w:w="60"/>
              <w:right w:type="dxa" w:w="100"/>
            </w:tcMar>
            <w:vAlign w:val="center"/>
          </w:tcPr>
          <w:p>
            <w:r>
              <w:rPr>
                <w:b w:val="false"/>
                <w:bCs w:val="false"/>
                <w:sz w:val="19"/>
                <w:szCs w:val="19"/>
              </w:rPr>
              <w:t xml:space="preserve">FRH</w:t>
            </w:r>
          </w:p>
        </w:tc>
        <w:tc>
          <w:tcPr>
            <w:tcW w:type="dxa" w:w="3900"/>
            <w:tcMar>
              <w:top w:type="dxa" w:w="60"/>
              <w:left w:type="dxa" w:w="100"/>
              <w:bottom w:type="dxa" w:w="60"/>
              <w:right w:type="dxa" w:w="100"/>
            </w:tcMar>
            <w:vAlign w:val="center"/>
          </w:tcPr>
          <w:p>
            <w:r>
              <w:rPr>
                <w:b w:val="false"/>
                <w:bCs w:val="false"/>
                <w:sz w:val="19"/>
                <w:szCs w:val="19"/>
              </w:rPr>
              <w:t xml:space="preserve">Gi0/0, Gi0/1, S0/1/0, S0/1/1</w:t>
            </w:r>
          </w:p>
        </w:tc>
        <w:tc>
          <w:tcPr>
            <w:tcW w:type="dxa" w:w="1560"/>
            <w:tcMar>
              <w:top w:type="dxa" w:w="60"/>
              <w:left w:type="dxa" w:w="100"/>
              <w:bottom w:type="dxa" w:w="60"/>
              <w:right w:type="dxa" w:w="100"/>
            </w:tcMar>
            <w:vAlign w:val="center"/>
          </w:tcPr>
          <w:p>
            <w:r>
              <w:rPr>
                <w:b w:val="false"/>
                <w:bCs w:val="false"/>
                <w:sz w:val="19"/>
                <w:szCs w:val="19"/>
              </w:rPr>
              <w:t xml:space="preserve">FRH-SW</w:t>
            </w:r>
          </w:p>
        </w:tc>
        <w:tc>
          <w:tcPr>
            <w:tcW w:type="dxa" w:w="3000"/>
            <w:tcMar>
              <w:top w:type="dxa" w:w="60"/>
              <w:left w:type="dxa" w:w="100"/>
              <w:bottom w:type="dxa" w:w="60"/>
              <w:right w:type="dxa" w:w="100"/>
            </w:tcMar>
            <w:vAlign w:val="center"/>
          </w:tcPr>
          <w:p>
            <w:r>
              <w:rPr>
                <w:b w:val="false"/>
                <w:bCs w:val="false"/>
                <w:sz w:val="19"/>
                <w:szCs w:val="19"/>
              </w:rPr>
              <w:t xml:space="preserve">2 PC, 1 printer, 1 server</w:t>
            </w:r>
          </w:p>
        </w:tc>
      </w:tr>
      <w:tr>
        <w:tc>
          <w:tcPr>
            <w:tcW w:type="dxa" w:w="900"/>
            <w:tcMar>
              <w:top w:type="dxa" w:w="60"/>
              <w:left w:type="dxa" w:w="100"/>
              <w:bottom w:type="dxa" w:w="60"/>
              <w:right w:type="dxa" w:w="100"/>
            </w:tcMar>
            <w:vAlign w:val="center"/>
          </w:tcPr>
          <w:p>
            <w:r>
              <w:rPr>
                <w:b w:val="false"/>
                <w:bCs w:val="false"/>
                <w:sz w:val="19"/>
                <w:szCs w:val="19"/>
              </w:rPr>
              <w:t xml:space="preserve">MEC</w:t>
            </w:r>
          </w:p>
        </w:tc>
        <w:tc>
          <w:tcPr>
            <w:tcW w:type="dxa" w:w="3900"/>
            <w:tcMar>
              <w:top w:type="dxa" w:w="60"/>
              <w:left w:type="dxa" w:w="100"/>
              <w:bottom w:type="dxa" w:w="60"/>
              <w:right w:type="dxa" w:w="100"/>
            </w:tcMar>
            <w:vAlign w:val="center"/>
          </w:tcPr>
          <w:p>
            <w:r>
              <w:rPr>
                <w:b w:val="false"/>
                <w:bCs w:val="false"/>
                <w:sz w:val="19"/>
                <w:szCs w:val="19"/>
              </w:rPr>
              <w:t xml:space="preserve">Gi0/0, Gi0/1, S0/1/0, S0/1/1</w:t>
            </w:r>
          </w:p>
        </w:tc>
        <w:tc>
          <w:tcPr>
            <w:tcW w:type="dxa" w:w="1560"/>
            <w:tcMar>
              <w:top w:type="dxa" w:w="60"/>
              <w:left w:type="dxa" w:w="100"/>
              <w:bottom w:type="dxa" w:w="60"/>
              <w:right w:type="dxa" w:w="100"/>
            </w:tcMar>
            <w:vAlign w:val="center"/>
          </w:tcPr>
          <w:p>
            <w:r>
              <w:rPr>
                <w:b w:val="false"/>
                <w:bCs w:val="false"/>
                <w:sz w:val="19"/>
                <w:szCs w:val="19"/>
              </w:rPr>
              <w:t xml:space="preserve">MEC-SW</w:t>
            </w:r>
          </w:p>
        </w:tc>
        <w:tc>
          <w:tcPr>
            <w:tcW w:type="dxa" w:w="3000"/>
            <w:tcMar>
              <w:top w:type="dxa" w:w="60"/>
              <w:left w:type="dxa" w:w="100"/>
              <w:bottom w:type="dxa" w:w="60"/>
              <w:right w:type="dxa" w:w="100"/>
            </w:tcMar>
            <w:vAlign w:val="center"/>
          </w:tcPr>
          <w:p>
            <w:r>
              <w:rPr>
                <w:b w:val="false"/>
                <w:bCs w:val="false"/>
                <w:sz w:val="19"/>
                <w:szCs w:val="19"/>
              </w:rPr>
              <w:t xml:space="preserve">2 PC, 1 printer, 1 server</w:t>
            </w:r>
          </w:p>
        </w:tc>
      </w:tr>
      <w:tr>
        <w:tc>
          <w:tcPr>
            <w:tcW w:type="dxa" w:w="900"/>
            <w:tcMar>
              <w:top w:type="dxa" w:w="60"/>
              <w:left w:type="dxa" w:w="100"/>
              <w:bottom w:type="dxa" w:w="60"/>
              <w:right w:type="dxa" w:w="100"/>
            </w:tcMar>
            <w:vAlign w:val="center"/>
          </w:tcPr>
          <w:p>
            <w:r>
              <w:rPr>
                <w:b w:val="false"/>
                <w:bCs w:val="false"/>
                <w:sz w:val="19"/>
                <w:szCs w:val="19"/>
              </w:rPr>
              <w:t xml:space="preserve">USR</w:t>
            </w:r>
          </w:p>
        </w:tc>
        <w:tc>
          <w:tcPr>
            <w:tcW w:type="dxa" w:w="3900"/>
            <w:tcMar>
              <w:top w:type="dxa" w:w="60"/>
              <w:left w:type="dxa" w:w="100"/>
              <w:bottom w:type="dxa" w:w="60"/>
              <w:right w:type="dxa" w:w="100"/>
            </w:tcMar>
            <w:vAlign w:val="center"/>
          </w:tcPr>
          <w:p>
            <w:r>
              <w:rPr>
                <w:b w:val="false"/>
                <w:bCs w:val="false"/>
                <w:sz w:val="19"/>
                <w:szCs w:val="19"/>
              </w:rPr>
              <w:t xml:space="preserve">Gi0/0, S0/1/0</w:t>
            </w:r>
          </w:p>
        </w:tc>
        <w:tc>
          <w:tcPr>
            <w:tcW w:type="dxa" w:w="1560"/>
            <w:tcMar>
              <w:top w:type="dxa" w:w="60"/>
              <w:left w:type="dxa" w:w="100"/>
              <w:bottom w:type="dxa" w:w="60"/>
              <w:right w:type="dxa" w:w="100"/>
            </w:tcMar>
            <w:vAlign w:val="center"/>
          </w:tcPr>
          <w:p>
            <w:r>
              <w:rPr>
                <w:b w:val="false"/>
                <w:bCs w:val="false"/>
                <w:sz w:val="19"/>
                <w:szCs w:val="19"/>
              </w:rPr>
              <w:t xml:space="preserve">USR-SW</w:t>
            </w:r>
          </w:p>
        </w:tc>
        <w:tc>
          <w:tcPr>
            <w:tcW w:type="dxa" w:w="3000"/>
            <w:tcMar>
              <w:top w:type="dxa" w:w="60"/>
              <w:left w:type="dxa" w:w="100"/>
              <w:bottom w:type="dxa" w:w="60"/>
              <w:right w:type="dxa" w:w="100"/>
            </w:tcMar>
            <w:vAlign w:val="center"/>
          </w:tcPr>
          <w:p>
            <w:r>
              <w:rPr>
                <w:b w:val="false"/>
                <w:bCs w:val="false"/>
                <w:sz w:val="19"/>
                <w:szCs w:val="19"/>
              </w:rPr>
              <w:t xml:space="preserve">2 PC, 1 printer, 1 server</w:t>
            </w:r>
          </w:p>
        </w:tc>
      </w:tr>
      <w:tr>
        <w:tc>
          <w:tcPr>
            <w:tcW w:type="dxa" w:w="900"/>
            <w:tcMar>
              <w:top w:type="dxa" w:w="60"/>
              <w:left w:type="dxa" w:w="100"/>
              <w:bottom w:type="dxa" w:w="60"/>
              <w:right w:type="dxa" w:w="100"/>
            </w:tcMar>
            <w:vAlign w:val="center"/>
          </w:tcPr>
          <w:p>
            <w:r>
              <w:rPr>
                <w:b w:val="false"/>
                <w:bCs w:val="false"/>
                <w:sz w:val="19"/>
                <w:szCs w:val="19"/>
              </w:rPr>
              <w:t xml:space="preserve">CRC</w:t>
            </w:r>
          </w:p>
        </w:tc>
        <w:tc>
          <w:tcPr>
            <w:tcW w:type="dxa" w:w="3900"/>
            <w:tcMar>
              <w:top w:type="dxa" w:w="60"/>
              <w:left w:type="dxa" w:w="100"/>
              <w:bottom w:type="dxa" w:w="60"/>
              <w:right w:type="dxa" w:w="100"/>
            </w:tcMar>
            <w:vAlign w:val="center"/>
          </w:tcPr>
          <w:p>
            <w:r>
              <w:rPr>
                <w:b w:val="false"/>
                <w:bCs w:val="false"/>
                <w:sz w:val="19"/>
                <w:szCs w:val="19"/>
              </w:rPr>
              <w:t xml:space="preserve">Gi0/0, Gi0/1, S0/1/0</w:t>
            </w:r>
          </w:p>
        </w:tc>
        <w:tc>
          <w:tcPr>
            <w:tcW w:type="dxa" w:w="1560"/>
            <w:tcMar>
              <w:top w:type="dxa" w:w="60"/>
              <w:left w:type="dxa" w:w="100"/>
              <w:bottom w:type="dxa" w:w="60"/>
              <w:right w:type="dxa" w:w="100"/>
            </w:tcMar>
            <w:vAlign w:val="center"/>
          </w:tcPr>
          <w:p>
            <w:r>
              <w:rPr>
                <w:b w:val="false"/>
                <w:bCs w:val="false"/>
                <w:sz w:val="19"/>
                <w:szCs w:val="19"/>
              </w:rPr>
              <w:t xml:space="preserve">CRC-SW</w:t>
            </w:r>
          </w:p>
        </w:tc>
        <w:tc>
          <w:tcPr>
            <w:tcW w:type="dxa" w:w="3000"/>
            <w:tcMar>
              <w:top w:type="dxa" w:w="60"/>
              <w:left w:type="dxa" w:w="100"/>
              <w:bottom w:type="dxa" w:w="60"/>
              <w:right w:type="dxa" w:w="100"/>
            </w:tcMar>
            <w:vAlign w:val="center"/>
          </w:tcPr>
          <w:p>
            <w:r>
              <w:rPr>
                <w:b w:val="false"/>
                <w:bCs w:val="false"/>
                <w:sz w:val="19"/>
                <w:szCs w:val="19"/>
              </w:rPr>
              <w:t xml:space="preserve">2 PC, 1 printer, 1 server</w:t>
            </w:r>
          </w:p>
        </w:tc>
      </w:tr>
      <w:tr>
        <w:tc>
          <w:tcPr>
            <w:tcW w:type="dxa" w:w="900"/>
            <w:tcMar>
              <w:top w:type="dxa" w:w="60"/>
              <w:left w:type="dxa" w:w="100"/>
              <w:bottom w:type="dxa" w:w="60"/>
              <w:right w:type="dxa" w:w="100"/>
            </w:tcMar>
            <w:vAlign w:val="center"/>
          </w:tcPr>
          <w:p>
            <w:r>
              <w:rPr>
                <w:b w:val="false"/>
                <w:bCs w:val="false"/>
                <w:sz w:val="19"/>
                <w:szCs w:val="19"/>
              </w:rPr>
              <w:t xml:space="preserve">MOP</w:t>
            </w:r>
          </w:p>
        </w:tc>
        <w:tc>
          <w:tcPr>
            <w:tcW w:type="dxa" w:w="3900"/>
            <w:tcMar>
              <w:top w:type="dxa" w:w="60"/>
              <w:left w:type="dxa" w:w="100"/>
              <w:bottom w:type="dxa" w:w="60"/>
              <w:right w:type="dxa" w:w="100"/>
            </w:tcMar>
            <w:vAlign w:val="center"/>
          </w:tcPr>
          <w:p>
            <w:r>
              <w:rPr>
                <w:b w:val="false"/>
                <w:bCs w:val="false"/>
                <w:sz w:val="19"/>
                <w:szCs w:val="19"/>
              </w:rPr>
              <w:t xml:space="preserve">Gi0/0, S0/1/0</w:t>
            </w:r>
          </w:p>
        </w:tc>
        <w:tc>
          <w:tcPr>
            <w:tcW w:type="dxa" w:w="1560"/>
            <w:tcMar>
              <w:top w:type="dxa" w:w="60"/>
              <w:left w:type="dxa" w:w="100"/>
              <w:bottom w:type="dxa" w:w="60"/>
              <w:right w:type="dxa" w:w="100"/>
            </w:tcMar>
            <w:vAlign w:val="center"/>
          </w:tcPr>
          <w:p>
            <w:r>
              <w:rPr>
                <w:b w:val="false"/>
                <w:bCs w:val="false"/>
                <w:sz w:val="19"/>
                <w:szCs w:val="19"/>
              </w:rPr>
              <w:t xml:space="preserve">MOP-SW</w:t>
            </w:r>
          </w:p>
        </w:tc>
        <w:tc>
          <w:tcPr>
            <w:tcW w:type="dxa" w:w="3000"/>
            <w:tcMar>
              <w:top w:type="dxa" w:w="60"/>
              <w:left w:type="dxa" w:w="100"/>
              <w:bottom w:type="dxa" w:w="60"/>
              <w:right w:type="dxa" w:w="100"/>
            </w:tcMar>
            <w:vAlign w:val="center"/>
          </w:tcPr>
          <w:p>
            <w:r>
              <w:rPr>
                <w:b w:val="false"/>
                <w:bCs w:val="false"/>
                <w:sz w:val="19"/>
                <w:szCs w:val="19"/>
              </w:rPr>
              <w:t xml:space="preserve">2 PC, 1 printer, 1 server</w:t>
            </w:r>
          </w:p>
        </w:tc>
      </w:tr>
    </w:tbl>
    <w:p>
      <w:pPr>
        <w:spacing w:after="300" w:before="80"/>
        <w:jc w:val="center"/>
      </w:pPr>
      <w:r>
        <w:rPr>
          <w:i/>
          <w:iCs/>
          <w:color w:val="555555"/>
          <w:sz w:val="18"/>
          <w:szCs w:val="18"/>
        </w:rPr>
        <w:t xml:space="preserve">Table 3 — Device inventory by site.</w:t>
      </w:r>
    </w:p>
    <w:p>
      <w:pPr>
        <w:pStyle w:val="Heading1"/>
        <w:spacing w:after="200" w:before="400"/>
      </w:pPr>
      <w:r>
        <w:t xml:space="preserve">5. Router Configurations</w:t>
      </w:r>
    </w:p>
    <w:p>
      <w:pPr>
        <w:spacing w:after="160"/>
      </w:pPr>
      <w:r>
        <w:t xml:space="preserve">Full final running-configuration for each router (interfaces, DHCP, static routes, and RIP where applicable), reflecting the cumulative state after every configuration phase.</w:t>
      </w:r>
    </w:p>
    <w:p>
      <w:pPr>
        <w:pStyle w:val="Heading2"/>
        <w:spacing w:after="150" w:before="300"/>
      </w:pPr>
      <w:r>
        <w:t xml:space="preserve">5.1 NEOC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0EC" w:val="clear"/>
            <w:tcMar>
              <w:top w:type="dxa" w:w="120"/>
              <w:left w:type="dxa" w:w="160"/>
              <w:bottom w:type="dxa" w:w="120"/>
              <w:right w:type="dxa" w:w="160"/>
            </w:tcMar>
          </w:tcPr>
          <w:p>
            <w:pPr>
              <w:spacing w:after="0"/>
            </w:pPr>
            <w:r>
              <w:rPr>
                <w:rFonts w:ascii="Consolas" w:cs="Consolas" w:eastAsia="Consolas" w:hAnsi="Consolas"/>
                <w:sz w:val="18"/>
                <w:szCs w:val="18"/>
              </w:rPr>
              <w:t xml:space="preserve">hostname NEOC</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interface GigabitEthernet0/0</w:t>
            </w:r>
          </w:p>
          <w:p>
            <w:pPr>
              <w:spacing w:after="0"/>
            </w:pPr>
            <w:r>
              <w:rPr>
                <w:rFonts w:ascii="Consolas" w:cs="Consolas" w:eastAsia="Consolas" w:hAnsi="Consolas"/>
                <w:sz w:val="18"/>
                <w:szCs w:val="18"/>
              </w:rPr>
              <w:t xml:space="preserve"> ip address 11.35.0.1 255.255.224.0</w:t>
            </w:r>
          </w:p>
          <w:p>
            <w:pPr>
              <w:spacing w:after="0"/>
            </w:pPr>
            <w:r>
              <w:rPr>
                <w:rFonts w:ascii="Consolas" w:cs="Consolas" w:eastAsia="Consolas" w:hAnsi="Consolas"/>
                <w:sz w:val="18"/>
                <w:szCs w:val="18"/>
              </w:rPr>
              <w:t xml:space="preserve"> no shutdown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interface GigabitEthernet0/1</w:t>
            </w:r>
          </w:p>
          <w:p>
            <w:pPr>
              <w:spacing w:after="0"/>
            </w:pPr>
            <w:r>
              <w:rPr>
                <w:rFonts w:ascii="Consolas" w:cs="Consolas" w:eastAsia="Consolas" w:hAnsi="Consolas"/>
                <w:sz w:val="18"/>
                <w:szCs w:val="18"/>
              </w:rPr>
              <w:t xml:space="preserve"> ip address 11.35.45.193 255.255.255.248</w:t>
            </w:r>
          </w:p>
          <w:p>
            <w:pPr>
              <w:spacing w:after="0"/>
            </w:pPr>
            <w:r>
              <w:rPr>
                <w:rFonts w:ascii="Consolas" w:cs="Consolas" w:eastAsia="Consolas" w:hAnsi="Consolas"/>
                <w:sz w:val="18"/>
                <w:szCs w:val="18"/>
              </w:rPr>
              <w:t xml:space="preserve"> no shutdown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interface Serial0/1/0</w:t>
            </w:r>
          </w:p>
          <w:p>
            <w:pPr>
              <w:spacing w:after="0"/>
            </w:pPr>
            <w:r>
              <w:rPr>
                <w:rFonts w:ascii="Consolas" w:cs="Consolas" w:eastAsia="Consolas" w:hAnsi="Consolas"/>
                <w:sz w:val="18"/>
                <w:szCs w:val="18"/>
              </w:rPr>
              <w:t xml:space="preserve"> ip address 11.35.45.201 255.255.255.252</w:t>
            </w:r>
          </w:p>
          <w:p>
            <w:pPr>
              <w:spacing w:after="0"/>
            </w:pPr>
            <w:r>
              <w:rPr>
                <w:rFonts w:ascii="Consolas" w:cs="Consolas" w:eastAsia="Consolas" w:hAnsi="Consolas"/>
                <w:sz w:val="18"/>
                <w:szCs w:val="18"/>
              </w:rPr>
              <w:t xml:space="preserve"> clock rate 64000</w:t>
            </w:r>
          </w:p>
          <w:p>
            <w:pPr>
              <w:spacing w:after="0"/>
            </w:pPr>
            <w:r>
              <w:rPr>
                <w:rFonts w:ascii="Consolas" w:cs="Consolas" w:eastAsia="Consolas" w:hAnsi="Consolas"/>
                <w:sz w:val="18"/>
                <w:szCs w:val="18"/>
              </w:rPr>
              <w:t xml:space="preserve"> no shutdown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interface Serial0/1/1</w:t>
            </w:r>
          </w:p>
          <w:p>
            <w:pPr>
              <w:spacing w:after="0"/>
            </w:pPr>
            <w:r>
              <w:rPr>
                <w:rFonts w:ascii="Consolas" w:cs="Consolas" w:eastAsia="Consolas" w:hAnsi="Consolas"/>
                <w:sz w:val="18"/>
                <w:szCs w:val="18"/>
              </w:rPr>
              <w:t xml:space="preserve"> ip address 11.35.45.210 255.255.255.252</w:t>
            </w:r>
          </w:p>
          <w:p>
            <w:pPr>
              <w:spacing w:after="0"/>
            </w:pPr>
            <w:r>
              <w:rPr>
                <w:rFonts w:ascii="Consolas" w:cs="Consolas" w:eastAsia="Consolas" w:hAnsi="Consolas"/>
                <w:sz w:val="18"/>
                <w:szCs w:val="18"/>
              </w:rPr>
              <w:t xml:space="preserve"> clock rate 64000</w:t>
            </w:r>
          </w:p>
          <w:p>
            <w:pPr>
              <w:spacing w:after="0"/>
            </w:pPr>
            <w:r>
              <w:rPr>
                <w:rFonts w:ascii="Consolas" w:cs="Consolas" w:eastAsia="Consolas" w:hAnsi="Consolas"/>
                <w:sz w:val="18"/>
                <w:szCs w:val="18"/>
              </w:rPr>
              <w:t xml:space="preserve"> no shutdown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interface Serial0/2/0</w:t>
            </w:r>
          </w:p>
          <w:p>
            <w:pPr>
              <w:spacing w:after="0"/>
            </w:pPr>
            <w:r>
              <w:rPr>
                <w:rFonts w:ascii="Consolas" w:cs="Consolas" w:eastAsia="Consolas" w:hAnsi="Consolas"/>
                <w:sz w:val="18"/>
                <w:szCs w:val="18"/>
              </w:rPr>
              <w:t xml:space="preserve"> ip address 11.35.45.213 255.255.255.252</w:t>
            </w:r>
          </w:p>
          <w:p>
            <w:pPr>
              <w:spacing w:after="0"/>
            </w:pPr>
            <w:r>
              <w:rPr>
                <w:rFonts w:ascii="Consolas" w:cs="Consolas" w:eastAsia="Consolas" w:hAnsi="Consolas"/>
                <w:sz w:val="18"/>
                <w:szCs w:val="18"/>
              </w:rPr>
              <w:t xml:space="preserve"> clock rate 64000</w:t>
            </w:r>
          </w:p>
          <w:p>
            <w:pPr>
              <w:spacing w:after="0"/>
            </w:pPr>
            <w:r>
              <w:rPr>
                <w:rFonts w:ascii="Consolas" w:cs="Consolas" w:eastAsia="Consolas" w:hAnsi="Consolas"/>
                <w:sz w:val="18"/>
                <w:szCs w:val="18"/>
              </w:rPr>
              <w:t xml:space="preserve"> no shutdown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ip dhcp excluded-address 11.35.0.1 11.35.0.3</w:t>
            </w:r>
          </w:p>
          <w:p>
            <w:pPr>
              <w:spacing w:after="0"/>
            </w:pPr>
            <w:r>
              <w:rPr>
                <w:rFonts w:ascii="Consolas" w:cs="Consolas" w:eastAsia="Consolas" w:hAnsi="Consolas"/>
                <w:sz w:val="18"/>
                <w:szCs w:val="18"/>
              </w:rPr>
              <w:t xml:space="preserve">ip dhcp excluded-address 11.35.44.1 11.35.44.3</w:t>
            </w:r>
          </w:p>
          <w:p>
            <w:pPr>
              <w:spacing w:after="0"/>
            </w:pPr>
            <w:r>
              <w:rPr>
                <w:rFonts w:ascii="Consolas" w:cs="Consolas" w:eastAsia="Consolas" w:hAnsi="Consolas"/>
                <w:sz w:val="18"/>
                <w:szCs w:val="18"/>
              </w:rPr>
              <w:t xml:space="preserve">ip dhcp excluded-address 11.35.42.1 11.35.42.3</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ip dhcp pool NEOC-POOL</w:t>
            </w:r>
          </w:p>
          <w:p>
            <w:pPr>
              <w:spacing w:after="0"/>
            </w:pPr>
            <w:r>
              <w:rPr>
                <w:rFonts w:ascii="Consolas" w:cs="Consolas" w:eastAsia="Consolas" w:hAnsi="Consolas"/>
                <w:sz w:val="18"/>
                <w:szCs w:val="18"/>
              </w:rPr>
              <w:t xml:space="preserve"> network 11.35.0.0 255.255.224.0</w:t>
            </w:r>
          </w:p>
          <w:p>
            <w:pPr>
              <w:spacing w:after="0"/>
            </w:pPr>
            <w:r>
              <w:rPr>
                <w:rFonts w:ascii="Consolas" w:cs="Consolas" w:eastAsia="Consolas" w:hAnsi="Consolas"/>
                <w:sz w:val="18"/>
                <w:szCs w:val="18"/>
              </w:rPr>
              <w:t xml:space="preserve"> default-router 11.35.0.1</w:t>
            </w:r>
          </w:p>
          <w:p>
            <w:pPr>
              <w:spacing w:after="0"/>
            </w:pPr>
            <w:r>
              <w:rPr>
                <w:rFonts w:ascii="Consolas" w:cs="Consolas" w:eastAsia="Consolas" w:hAnsi="Consolas"/>
                <w:sz w:val="18"/>
                <w:szCs w:val="18"/>
              </w:rPr>
              <w:t xml:space="preserve"> dns-server 11.35.0.2</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ip dhcp pool SMS-POOL</w:t>
            </w:r>
          </w:p>
          <w:p>
            <w:pPr>
              <w:spacing w:after="0"/>
            </w:pPr>
            <w:r>
              <w:rPr>
                <w:rFonts w:ascii="Consolas" w:cs="Consolas" w:eastAsia="Consolas" w:hAnsi="Consolas"/>
                <w:sz w:val="18"/>
                <w:szCs w:val="18"/>
              </w:rPr>
              <w:t xml:space="preserve"> network 11.35.44.0 255.255.255.0</w:t>
            </w:r>
          </w:p>
          <w:p>
            <w:pPr>
              <w:spacing w:after="0"/>
            </w:pPr>
            <w:r>
              <w:rPr>
                <w:rFonts w:ascii="Consolas" w:cs="Consolas" w:eastAsia="Consolas" w:hAnsi="Consolas"/>
                <w:sz w:val="18"/>
                <w:szCs w:val="18"/>
              </w:rPr>
              <w:t xml:space="preserve"> default-router 11.35.44.1</w:t>
            </w:r>
          </w:p>
          <w:p>
            <w:pPr>
              <w:spacing w:after="0"/>
            </w:pPr>
            <w:r>
              <w:rPr>
                <w:rFonts w:ascii="Consolas" w:cs="Consolas" w:eastAsia="Consolas" w:hAnsi="Consolas"/>
                <w:sz w:val="18"/>
                <w:szCs w:val="18"/>
              </w:rPr>
              <w:t xml:space="preserve"> dns-server 11.35.0.2</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ip dhcp pool FRH-POOL</w:t>
            </w:r>
          </w:p>
          <w:p>
            <w:pPr>
              <w:spacing w:after="0"/>
            </w:pPr>
            <w:r>
              <w:rPr>
                <w:rFonts w:ascii="Consolas" w:cs="Consolas" w:eastAsia="Consolas" w:hAnsi="Consolas"/>
                <w:sz w:val="18"/>
                <w:szCs w:val="18"/>
              </w:rPr>
              <w:t xml:space="preserve"> network 11.35.42.0 255.255.254.0</w:t>
            </w:r>
          </w:p>
          <w:p>
            <w:pPr>
              <w:spacing w:after="0"/>
            </w:pPr>
            <w:r>
              <w:rPr>
                <w:rFonts w:ascii="Consolas" w:cs="Consolas" w:eastAsia="Consolas" w:hAnsi="Consolas"/>
                <w:sz w:val="18"/>
                <w:szCs w:val="18"/>
              </w:rPr>
              <w:t xml:space="preserve"> default-router 11.35.42.1</w:t>
            </w:r>
          </w:p>
          <w:p>
            <w:pPr>
              <w:spacing w:after="0"/>
            </w:pPr>
            <w:r>
              <w:rPr>
                <w:rFonts w:ascii="Consolas" w:cs="Consolas" w:eastAsia="Consolas" w:hAnsi="Consolas"/>
                <w:sz w:val="18"/>
                <w:szCs w:val="18"/>
              </w:rPr>
              <w:t xml:space="preserve"> dns-server 11.35.0.2</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ip route 11.35.40.0 255.255.254.0 11.35.45.214</w:t>
            </w:r>
          </w:p>
          <w:p>
            <w:pPr>
              <w:spacing w:after="0"/>
            </w:pPr>
            <w:r>
              <w:rPr>
                <w:rFonts w:ascii="Consolas" w:cs="Consolas" w:eastAsia="Consolas" w:hAnsi="Consolas"/>
                <w:sz w:val="18"/>
                <w:szCs w:val="18"/>
              </w:rPr>
              <w:t xml:space="preserve">ip route 11.35.32.0 255.255.248.0 11.35.45.214</w:t>
            </w:r>
          </w:p>
          <w:p>
            <w:pPr>
              <w:spacing w:after="0"/>
            </w:pPr>
            <w:r>
              <w:rPr>
                <w:rFonts w:ascii="Consolas" w:cs="Consolas" w:eastAsia="Consolas" w:hAnsi="Consolas"/>
                <w:sz w:val="18"/>
                <w:szCs w:val="18"/>
              </w:rPr>
              <w:t xml:space="preserve">ip route 11.35.45.0 255.255.255.128 11.35.45.196</w:t>
            </w:r>
          </w:p>
          <w:p>
            <w:pPr>
              <w:spacing w:after="0"/>
            </w:pPr>
            <w:r>
              <w:rPr>
                <w:rFonts w:ascii="Consolas" w:cs="Consolas" w:eastAsia="Consolas" w:hAnsi="Consolas"/>
                <w:sz w:val="18"/>
                <w:szCs w:val="18"/>
              </w:rPr>
              <w:t xml:space="preserve">ip route 11.35.45.128 255.255.255.192 11.35.45.196</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router rip</w:t>
            </w:r>
          </w:p>
          <w:p>
            <w:pPr>
              <w:spacing w:after="0"/>
            </w:pPr>
            <w:r>
              <w:rPr>
                <w:rFonts w:ascii="Consolas" w:cs="Consolas" w:eastAsia="Consolas" w:hAnsi="Consolas"/>
                <w:sz w:val="18"/>
                <w:szCs w:val="18"/>
              </w:rPr>
              <w:t xml:space="preserve"> version 2</w:t>
            </w:r>
          </w:p>
          <w:p>
            <w:pPr>
              <w:spacing w:after="0"/>
            </w:pPr>
            <w:r>
              <w:rPr>
                <w:rFonts w:ascii="Consolas" w:cs="Consolas" w:eastAsia="Consolas" w:hAnsi="Consolas"/>
                <w:sz w:val="18"/>
                <w:szCs w:val="18"/>
              </w:rPr>
              <w:t xml:space="preserve"> network 11.0.0.0</w:t>
            </w:r>
          </w:p>
          <w:p>
            <w:pPr>
              <w:spacing w:after="0"/>
            </w:pPr>
            <w:r>
              <w:rPr>
                <w:rFonts w:ascii="Consolas" w:cs="Consolas" w:eastAsia="Consolas" w:hAnsi="Consolas"/>
                <w:sz w:val="18"/>
                <w:szCs w:val="18"/>
              </w:rPr>
              <w:t xml:space="preserve"> passive-interface GigabitEthernet0/0</w:t>
            </w:r>
          </w:p>
          <w:p>
            <w:pPr>
              <w:spacing w:after="0"/>
            </w:pPr>
            <w:r>
              <w:rPr>
                <w:rFonts w:ascii="Consolas" w:cs="Consolas" w:eastAsia="Consolas" w:hAnsi="Consolas"/>
                <w:sz w:val="18"/>
                <w:szCs w:val="18"/>
              </w:rPr>
              <w:t xml:space="preserve"> passive-interface GigabitEthernet0/1</w:t>
            </w:r>
          </w:p>
          <w:p>
            <w:pPr>
              <w:spacing w:after="0"/>
            </w:pPr>
            <w:r>
              <w:rPr>
                <w:rFonts w:ascii="Consolas" w:cs="Consolas" w:eastAsia="Consolas" w:hAnsi="Consolas"/>
                <w:sz w:val="18"/>
                <w:szCs w:val="18"/>
              </w:rPr>
              <w:t xml:space="preserve"> passive-interface Serial0/2/0</w:t>
            </w:r>
          </w:p>
          <w:p>
            <w:pPr>
              <w:spacing w:after="0"/>
            </w:pPr>
            <w:r>
              <w:rPr>
                <w:rFonts w:ascii="Consolas" w:cs="Consolas" w:eastAsia="Consolas" w:hAnsi="Consolas"/>
                <w:sz w:val="18"/>
                <w:szCs w:val="18"/>
              </w:rPr>
              <w:t xml:space="preserve"> redistribute static</w:t>
            </w:r>
          </w:p>
          <w:p>
            <w:pPr>
              <w:spacing w:after="0"/>
            </w:pPr>
            <w:r>
              <w:rPr>
                <w:rFonts w:ascii="Consolas" w:cs="Consolas" w:eastAsia="Consolas" w:hAnsi="Consolas"/>
                <w:sz w:val="18"/>
                <w:szCs w:val="18"/>
              </w:rPr>
              <w:t xml:space="preserve"> default-metric 1</w:t>
            </w:r>
          </w:p>
          <w:p>
            <w:pPr>
              <w:spacing w:after="0"/>
            </w:pPr>
            <w:r>
              <w:rPr>
                <w:rFonts w:ascii="Consolas" w:cs="Consolas" w:eastAsia="Consolas" w:hAnsi="Consolas"/>
                <w:sz w:val="18"/>
                <w:szCs w:val="18"/>
              </w:rPr>
              <w:t xml:space="preserve"> no auto-summary</w:t>
            </w:r>
          </w:p>
        </w:tc>
      </w:tr>
    </w:tbl>
    <w:p>
      <w:pPr>
        <w:spacing w:after="200"/>
      </w:pPr>
    </w:p>
    <w:p>
      <w:pPr>
        <w:pStyle w:val="Heading2"/>
        <w:spacing w:after="150" w:before="300"/>
      </w:pPr>
      <w:r>
        <w:t xml:space="preserve">5.2 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0EC" w:val="clear"/>
            <w:tcMar>
              <w:top w:type="dxa" w:w="120"/>
              <w:left w:type="dxa" w:w="160"/>
              <w:bottom w:type="dxa" w:w="120"/>
              <w:right w:type="dxa" w:w="160"/>
            </w:tcMar>
          </w:tcPr>
          <w:p>
            <w:pPr>
              <w:spacing w:after="0"/>
            </w:pPr>
            <w:r>
              <w:rPr>
                <w:rFonts w:ascii="Consolas" w:cs="Consolas" w:eastAsia="Consolas" w:hAnsi="Consolas"/>
                <w:sz w:val="18"/>
                <w:szCs w:val="18"/>
              </w:rPr>
              <w:t xml:space="preserve">hostname SMS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interface GigabitEthernet0/0</w:t>
            </w:r>
          </w:p>
          <w:p>
            <w:pPr>
              <w:spacing w:after="0"/>
            </w:pPr>
            <w:r>
              <w:rPr>
                <w:rFonts w:ascii="Consolas" w:cs="Consolas" w:eastAsia="Consolas" w:hAnsi="Consolas"/>
                <w:sz w:val="18"/>
                <w:szCs w:val="18"/>
              </w:rPr>
              <w:t xml:space="preserve"> ip address 11.35.44.1 255.255.255.0</w:t>
            </w:r>
          </w:p>
          <w:p>
            <w:pPr>
              <w:spacing w:after="0"/>
            </w:pPr>
            <w:r>
              <w:rPr>
                <w:rFonts w:ascii="Consolas" w:cs="Consolas" w:eastAsia="Consolas" w:hAnsi="Consolas"/>
                <w:sz w:val="18"/>
                <w:szCs w:val="18"/>
              </w:rPr>
              <w:t xml:space="preserve"> ip helper-address 11.35.45.201</w:t>
            </w:r>
          </w:p>
          <w:p>
            <w:pPr>
              <w:spacing w:after="0"/>
            </w:pPr>
            <w:r>
              <w:rPr>
                <w:rFonts w:ascii="Consolas" w:cs="Consolas" w:eastAsia="Consolas" w:hAnsi="Consolas"/>
                <w:sz w:val="18"/>
                <w:szCs w:val="18"/>
              </w:rPr>
              <w:t xml:space="preserve"> no shutdown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interface Serial0/1/0</w:t>
            </w:r>
          </w:p>
          <w:p>
            <w:pPr>
              <w:spacing w:after="0"/>
            </w:pPr>
            <w:r>
              <w:rPr>
                <w:rFonts w:ascii="Consolas" w:cs="Consolas" w:eastAsia="Consolas" w:hAnsi="Consolas"/>
                <w:sz w:val="18"/>
                <w:szCs w:val="18"/>
              </w:rPr>
              <w:t xml:space="preserve"> ip address 11.35.45.202 255.255.255.252</w:t>
            </w:r>
          </w:p>
          <w:p>
            <w:pPr>
              <w:spacing w:after="0"/>
            </w:pPr>
            <w:r>
              <w:rPr>
                <w:rFonts w:ascii="Consolas" w:cs="Consolas" w:eastAsia="Consolas" w:hAnsi="Consolas"/>
                <w:sz w:val="18"/>
                <w:szCs w:val="18"/>
              </w:rPr>
              <w:t xml:space="preserve"> no shutdown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interface Serial0/1/1</w:t>
            </w:r>
          </w:p>
          <w:p>
            <w:pPr>
              <w:spacing w:after="0"/>
            </w:pPr>
            <w:r>
              <w:rPr>
                <w:rFonts w:ascii="Consolas" w:cs="Consolas" w:eastAsia="Consolas" w:hAnsi="Consolas"/>
                <w:sz w:val="18"/>
                <w:szCs w:val="18"/>
              </w:rPr>
              <w:t xml:space="preserve"> ip address 11.35.45.205 255.255.255.252</w:t>
            </w:r>
          </w:p>
          <w:p>
            <w:pPr>
              <w:spacing w:after="0"/>
            </w:pPr>
            <w:r>
              <w:rPr>
                <w:rFonts w:ascii="Consolas" w:cs="Consolas" w:eastAsia="Consolas" w:hAnsi="Consolas"/>
                <w:sz w:val="18"/>
                <w:szCs w:val="18"/>
              </w:rPr>
              <w:t xml:space="preserve"> clock rate 64000</w:t>
            </w:r>
          </w:p>
          <w:p>
            <w:pPr>
              <w:spacing w:after="0"/>
            </w:pPr>
            <w:r>
              <w:rPr>
                <w:rFonts w:ascii="Consolas" w:cs="Consolas" w:eastAsia="Consolas" w:hAnsi="Consolas"/>
                <w:sz w:val="18"/>
                <w:szCs w:val="18"/>
              </w:rPr>
              <w:t xml:space="preserve"> no shutdown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router rip</w:t>
            </w:r>
          </w:p>
          <w:p>
            <w:pPr>
              <w:spacing w:after="0"/>
            </w:pPr>
            <w:r>
              <w:rPr>
                <w:rFonts w:ascii="Consolas" w:cs="Consolas" w:eastAsia="Consolas" w:hAnsi="Consolas"/>
                <w:sz w:val="18"/>
                <w:szCs w:val="18"/>
              </w:rPr>
              <w:t xml:space="preserve"> version 2</w:t>
            </w:r>
          </w:p>
          <w:p>
            <w:pPr>
              <w:spacing w:after="0"/>
            </w:pPr>
            <w:r>
              <w:rPr>
                <w:rFonts w:ascii="Consolas" w:cs="Consolas" w:eastAsia="Consolas" w:hAnsi="Consolas"/>
                <w:sz w:val="18"/>
                <w:szCs w:val="18"/>
              </w:rPr>
              <w:t xml:space="preserve"> network 11.0.0.0</w:t>
            </w:r>
          </w:p>
          <w:p>
            <w:pPr>
              <w:spacing w:after="0"/>
            </w:pPr>
            <w:r>
              <w:rPr>
                <w:rFonts w:ascii="Consolas" w:cs="Consolas" w:eastAsia="Consolas" w:hAnsi="Consolas"/>
                <w:sz w:val="18"/>
                <w:szCs w:val="18"/>
              </w:rPr>
              <w:t xml:space="preserve"> passive-interface GigabitEthernet0/0</w:t>
            </w:r>
          </w:p>
          <w:p>
            <w:pPr>
              <w:spacing w:after="0"/>
            </w:pPr>
            <w:r>
              <w:rPr>
                <w:rFonts w:ascii="Consolas" w:cs="Consolas" w:eastAsia="Consolas" w:hAnsi="Consolas"/>
                <w:sz w:val="18"/>
                <w:szCs w:val="18"/>
              </w:rPr>
              <w:t xml:space="preserve"> no auto-summary</w:t>
            </w:r>
          </w:p>
        </w:tc>
      </w:tr>
    </w:tbl>
    <w:p>
      <w:pPr>
        <w:spacing w:after="200"/>
      </w:pPr>
    </w:p>
    <w:p>
      <w:pPr>
        <w:pStyle w:val="Heading2"/>
        <w:spacing w:after="150" w:before="300"/>
      </w:pPr>
      <w:r>
        <w:t xml:space="preserve">5.3 FRH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0EC" w:val="clear"/>
            <w:tcMar>
              <w:top w:type="dxa" w:w="120"/>
              <w:left w:type="dxa" w:w="160"/>
              <w:bottom w:type="dxa" w:w="120"/>
              <w:right w:type="dxa" w:w="160"/>
            </w:tcMar>
          </w:tcPr>
          <w:p>
            <w:pPr>
              <w:spacing w:after="0"/>
            </w:pPr>
            <w:r>
              <w:rPr>
                <w:rFonts w:ascii="Consolas" w:cs="Consolas" w:eastAsia="Consolas" w:hAnsi="Consolas"/>
                <w:sz w:val="18"/>
                <w:szCs w:val="18"/>
              </w:rPr>
              <w:t xml:space="preserve">hostname FRH</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interface GigabitEthernet0/0</w:t>
            </w:r>
          </w:p>
          <w:p>
            <w:pPr>
              <w:spacing w:after="0"/>
            </w:pPr>
            <w:r>
              <w:rPr>
                <w:rFonts w:ascii="Consolas" w:cs="Consolas" w:eastAsia="Consolas" w:hAnsi="Consolas"/>
                <w:sz w:val="18"/>
                <w:szCs w:val="18"/>
              </w:rPr>
              <w:t xml:space="preserve"> ip address 11.35.42.1 255.255.254.0</w:t>
            </w:r>
          </w:p>
          <w:p>
            <w:pPr>
              <w:spacing w:after="0"/>
            </w:pPr>
            <w:r>
              <w:rPr>
                <w:rFonts w:ascii="Consolas" w:cs="Consolas" w:eastAsia="Consolas" w:hAnsi="Consolas"/>
                <w:sz w:val="18"/>
                <w:szCs w:val="18"/>
              </w:rPr>
              <w:t xml:space="preserve"> ip helper-address 11.35.45.210</w:t>
            </w:r>
          </w:p>
          <w:p>
            <w:pPr>
              <w:spacing w:after="0"/>
            </w:pPr>
            <w:r>
              <w:rPr>
                <w:rFonts w:ascii="Consolas" w:cs="Consolas" w:eastAsia="Consolas" w:hAnsi="Consolas"/>
                <w:sz w:val="18"/>
                <w:szCs w:val="18"/>
              </w:rPr>
              <w:t xml:space="preserve"> no shutdown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interface GigabitEthernet0/1</w:t>
            </w:r>
          </w:p>
          <w:p>
            <w:pPr>
              <w:spacing w:after="0"/>
            </w:pPr>
            <w:r>
              <w:rPr>
                <w:rFonts w:ascii="Consolas" w:cs="Consolas" w:eastAsia="Consolas" w:hAnsi="Consolas"/>
                <w:sz w:val="18"/>
                <w:szCs w:val="18"/>
              </w:rPr>
              <w:t xml:space="preserve"> ip address 11.35.45.194 255.255.255.248</w:t>
            </w:r>
          </w:p>
          <w:p>
            <w:pPr>
              <w:spacing w:after="0"/>
            </w:pPr>
            <w:r>
              <w:rPr>
                <w:rFonts w:ascii="Consolas" w:cs="Consolas" w:eastAsia="Consolas" w:hAnsi="Consolas"/>
                <w:sz w:val="18"/>
                <w:szCs w:val="18"/>
              </w:rPr>
              <w:t xml:space="preserve"> no shutdown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interface Serial0/1/0</w:t>
            </w:r>
          </w:p>
          <w:p>
            <w:pPr>
              <w:spacing w:after="0"/>
            </w:pPr>
            <w:r>
              <w:rPr>
                <w:rFonts w:ascii="Consolas" w:cs="Consolas" w:eastAsia="Consolas" w:hAnsi="Consolas"/>
                <w:sz w:val="18"/>
                <w:szCs w:val="18"/>
              </w:rPr>
              <w:t xml:space="preserve"> ip address 11.35.45.206 255.255.255.252</w:t>
            </w:r>
          </w:p>
          <w:p>
            <w:pPr>
              <w:spacing w:after="0"/>
            </w:pPr>
            <w:r>
              <w:rPr>
                <w:rFonts w:ascii="Consolas" w:cs="Consolas" w:eastAsia="Consolas" w:hAnsi="Consolas"/>
                <w:sz w:val="18"/>
                <w:szCs w:val="18"/>
              </w:rPr>
              <w:t xml:space="preserve"> no shutdown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interface Serial0/1/1</w:t>
            </w:r>
          </w:p>
          <w:p>
            <w:pPr>
              <w:spacing w:after="0"/>
            </w:pPr>
            <w:r>
              <w:rPr>
                <w:rFonts w:ascii="Consolas" w:cs="Consolas" w:eastAsia="Consolas" w:hAnsi="Consolas"/>
                <w:sz w:val="18"/>
                <w:szCs w:val="18"/>
              </w:rPr>
              <w:t xml:space="preserve"> ip address 11.35.45.209 255.255.255.252</w:t>
            </w:r>
          </w:p>
          <w:p>
            <w:pPr>
              <w:spacing w:after="0"/>
            </w:pPr>
            <w:r>
              <w:rPr>
                <w:rFonts w:ascii="Consolas" w:cs="Consolas" w:eastAsia="Consolas" w:hAnsi="Consolas"/>
                <w:sz w:val="18"/>
                <w:szCs w:val="18"/>
              </w:rPr>
              <w:t xml:space="preserve"> no shutdown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router rip</w:t>
            </w:r>
          </w:p>
          <w:p>
            <w:pPr>
              <w:spacing w:after="0"/>
            </w:pPr>
            <w:r>
              <w:rPr>
                <w:rFonts w:ascii="Consolas" w:cs="Consolas" w:eastAsia="Consolas" w:hAnsi="Consolas"/>
                <w:sz w:val="18"/>
                <w:szCs w:val="18"/>
              </w:rPr>
              <w:t xml:space="preserve"> version 2</w:t>
            </w:r>
          </w:p>
          <w:p>
            <w:pPr>
              <w:spacing w:after="0"/>
            </w:pPr>
            <w:r>
              <w:rPr>
                <w:rFonts w:ascii="Consolas" w:cs="Consolas" w:eastAsia="Consolas" w:hAnsi="Consolas"/>
                <w:sz w:val="18"/>
                <w:szCs w:val="18"/>
              </w:rPr>
              <w:t xml:space="preserve"> network 11.0.0.0</w:t>
            </w:r>
          </w:p>
          <w:p>
            <w:pPr>
              <w:spacing w:after="0"/>
            </w:pPr>
            <w:r>
              <w:rPr>
                <w:rFonts w:ascii="Consolas" w:cs="Consolas" w:eastAsia="Consolas" w:hAnsi="Consolas"/>
                <w:sz w:val="18"/>
                <w:szCs w:val="18"/>
              </w:rPr>
              <w:t xml:space="preserve"> passive-interface GigabitEthernet0/0</w:t>
            </w:r>
          </w:p>
          <w:p>
            <w:pPr>
              <w:spacing w:after="0"/>
            </w:pPr>
            <w:r>
              <w:rPr>
                <w:rFonts w:ascii="Consolas" w:cs="Consolas" w:eastAsia="Consolas" w:hAnsi="Consolas"/>
                <w:sz w:val="18"/>
                <w:szCs w:val="18"/>
              </w:rPr>
              <w:t xml:space="preserve"> passive-interface GigabitEthernet0/1</w:t>
            </w:r>
          </w:p>
          <w:p>
            <w:pPr>
              <w:spacing w:after="0"/>
            </w:pPr>
            <w:r>
              <w:rPr>
                <w:rFonts w:ascii="Consolas" w:cs="Consolas" w:eastAsia="Consolas" w:hAnsi="Consolas"/>
                <w:sz w:val="18"/>
                <w:szCs w:val="18"/>
              </w:rPr>
              <w:t xml:space="preserve"> no auto-summary</w:t>
            </w:r>
          </w:p>
        </w:tc>
      </w:tr>
    </w:tbl>
    <w:p>
      <w:pPr>
        <w:spacing w:after="200"/>
      </w:pPr>
    </w:p>
    <w:p>
      <w:pPr>
        <w:pStyle w:val="Heading2"/>
        <w:spacing w:after="150" w:before="300"/>
      </w:pPr>
      <w:r>
        <w:t xml:space="preserve">5.4 MEC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0EC" w:val="clear"/>
            <w:tcMar>
              <w:top w:type="dxa" w:w="120"/>
              <w:left w:type="dxa" w:w="160"/>
              <w:bottom w:type="dxa" w:w="120"/>
              <w:right w:type="dxa" w:w="160"/>
            </w:tcMar>
          </w:tcPr>
          <w:p>
            <w:pPr>
              <w:spacing w:after="0"/>
            </w:pPr>
            <w:r>
              <w:rPr>
                <w:rFonts w:ascii="Consolas" w:cs="Consolas" w:eastAsia="Consolas" w:hAnsi="Consolas"/>
                <w:sz w:val="18"/>
                <w:szCs w:val="18"/>
              </w:rPr>
              <w:t xml:space="preserve">hostname MEC</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interface GigabitEthernet0/0</w:t>
            </w:r>
          </w:p>
          <w:p>
            <w:pPr>
              <w:spacing w:after="0"/>
            </w:pPr>
            <w:r>
              <w:rPr>
                <w:rFonts w:ascii="Consolas" w:cs="Consolas" w:eastAsia="Consolas" w:hAnsi="Consolas"/>
                <w:sz w:val="18"/>
                <w:szCs w:val="18"/>
              </w:rPr>
              <w:t xml:space="preserve"> ip address 11.35.40.1 255.255.254.0</w:t>
            </w:r>
          </w:p>
          <w:p>
            <w:pPr>
              <w:spacing w:after="0"/>
            </w:pPr>
            <w:r>
              <w:rPr>
                <w:rFonts w:ascii="Consolas" w:cs="Consolas" w:eastAsia="Consolas" w:hAnsi="Consolas"/>
                <w:sz w:val="18"/>
                <w:szCs w:val="18"/>
              </w:rPr>
              <w:t xml:space="preserve"> no shutdown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interface GigabitEthernet0/1</w:t>
            </w:r>
          </w:p>
          <w:p>
            <w:pPr>
              <w:spacing w:after="0"/>
            </w:pPr>
            <w:r>
              <w:rPr>
                <w:rFonts w:ascii="Consolas" w:cs="Consolas" w:eastAsia="Consolas" w:hAnsi="Consolas"/>
                <w:sz w:val="18"/>
                <w:szCs w:val="18"/>
              </w:rPr>
              <w:t xml:space="preserve"> ip address 11.35.45.195 255.255.255.248</w:t>
            </w:r>
          </w:p>
          <w:p>
            <w:pPr>
              <w:spacing w:after="0"/>
            </w:pPr>
            <w:r>
              <w:rPr>
                <w:rFonts w:ascii="Consolas" w:cs="Consolas" w:eastAsia="Consolas" w:hAnsi="Consolas"/>
                <w:sz w:val="18"/>
                <w:szCs w:val="18"/>
              </w:rPr>
              <w:t xml:space="preserve"> no shutdown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interface Serial0/1/0</w:t>
            </w:r>
          </w:p>
          <w:p>
            <w:pPr>
              <w:spacing w:after="0"/>
            </w:pPr>
            <w:r>
              <w:rPr>
                <w:rFonts w:ascii="Consolas" w:cs="Consolas" w:eastAsia="Consolas" w:hAnsi="Consolas"/>
                <w:sz w:val="18"/>
                <w:szCs w:val="18"/>
              </w:rPr>
              <w:t xml:space="preserve"> ip address 11.35.45.214 255.255.255.252</w:t>
            </w:r>
          </w:p>
          <w:p>
            <w:pPr>
              <w:spacing w:after="0"/>
            </w:pPr>
            <w:r>
              <w:rPr>
                <w:rFonts w:ascii="Consolas" w:cs="Consolas" w:eastAsia="Consolas" w:hAnsi="Consolas"/>
                <w:sz w:val="18"/>
                <w:szCs w:val="18"/>
              </w:rPr>
              <w:t xml:space="preserve"> no shutdown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interface Serial0/1/1</w:t>
            </w:r>
          </w:p>
          <w:p>
            <w:pPr>
              <w:spacing w:after="0"/>
            </w:pPr>
            <w:r>
              <w:rPr>
                <w:rFonts w:ascii="Consolas" w:cs="Consolas" w:eastAsia="Consolas" w:hAnsi="Consolas"/>
                <w:sz w:val="18"/>
                <w:szCs w:val="18"/>
              </w:rPr>
              <w:t xml:space="preserve"> ip address 11.35.45.218 255.255.255.252</w:t>
            </w:r>
          </w:p>
          <w:p>
            <w:pPr>
              <w:spacing w:after="0"/>
            </w:pPr>
            <w:r>
              <w:rPr>
                <w:rFonts w:ascii="Consolas" w:cs="Consolas" w:eastAsia="Consolas" w:hAnsi="Consolas"/>
                <w:sz w:val="18"/>
                <w:szCs w:val="18"/>
              </w:rPr>
              <w:t xml:space="preserve"> clock rate 64000</w:t>
            </w:r>
          </w:p>
          <w:p>
            <w:pPr>
              <w:spacing w:after="0"/>
            </w:pPr>
            <w:r>
              <w:rPr>
                <w:rFonts w:ascii="Consolas" w:cs="Consolas" w:eastAsia="Consolas" w:hAnsi="Consolas"/>
                <w:sz w:val="18"/>
                <w:szCs w:val="18"/>
              </w:rPr>
              <w:t xml:space="preserve"> no shutdown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ip route 11.35.0.0 255.255.224.0 11.35.45.213</w:t>
            </w:r>
          </w:p>
          <w:p>
            <w:pPr>
              <w:spacing w:after="0"/>
            </w:pPr>
            <w:r>
              <w:rPr>
                <w:rFonts w:ascii="Consolas" w:cs="Consolas" w:eastAsia="Consolas" w:hAnsi="Consolas"/>
                <w:sz w:val="18"/>
                <w:szCs w:val="18"/>
              </w:rPr>
              <w:t xml:space="preserve">ip route 11.35.44.0 255.255.255.0 11.35.45.213</w:t>
            </w:r>
          </w:p>
          <w:p>
            <w:pPr>
              <w:spacing w:after="0"/>
            </w:pPr>
            <w:r>
              <w:rPr>
                <w:rFonts w:ascii="Consolas" w:cs="Consolas" w:eastAsia="Consolas" w:hAnsi="Consolas"/>
                <w:sz w:val="18"/>
                <w:szCs w:val="18"/>
              </w:rPr>
              <w:t xml:space="preserve">ip route 11.35.42.0 255.255.254.0 11.35.45.213</w:t>
            </w:r>
          </w:p>
          <w:p>
            <w:pPr>
              <w:spacing w:after="0"/>
            </w:pPr>
            <w:r>
              <w:rPr>
                <w:rFonts w:ascii="Consolas" w:cs="Consolas" w:eastAsia="Consolas" w:hAnsi="Consolas"/>
                <w:sz w:val="18"/>
                <w:szCs w:val="18"/>
              </w:rPr>
              <w:t xml:space="preserve">ip route 11.35.45.0 255.255.255.128 11.35.45.196</w:t>
            </w:r>
          </w:p>
          <w:p>
            <w:pPr>
              <w:spacing w:after="0"/>
            </w:pPr>
            <w:r>
              <w:rPr>
                <w:rFonts w:ascii="Consolas" w:cs="Consolas" w:eastAsia="Consolas" w:hAnsi="Consolas"/>
                <w:sz w:val="18"/>
                <w:szCs w:val="18"/>
              </w:rPr>
              <w:t xml:space="preserve">ip route 11.35.45.128 255.255.255.192 11.35.45.196</w:t>
            </w:r>
          </w:p>
          <w:p>
            <w:pPr>
              <w:spacing w:after="0"/>
            </w:pPr>
            <w:r>
              <w:rPr>
                <w:rFonts w:ascii="Consolas" w:cs="Consolas" w:eastAsia="Consolas" w:hAnsi="Consolas"/>
                <w:sz w:val="18"/>
                <w:szCs w:val="18"/>
              </w:rPr>
              <w:t xml:space="preserve">ip route 11.35.32.0 255.255.248.0 11.35.45.217</w:t>
            </w:r>
          </w:p>
          <w:p>
            <w:pPr>
              <w:spacing w:after="0"/>
            </w:pPr>
            <w:r>
              <w:rPr>
                <w:rFonts w:ascii="Consolas" w:cs="Consolas" w:eastAsia="Consolas" w:hAnsi="Consolas"/>
                <w:sz w:val="18"/>
                <w:szCs w:val="18"/>
              </w:rPr>
              <w:t xml:space="preserve">ip route 11.35.0.0 255.255.224.0 11.35.45.196 144</w:t>
            </w:r>
          </w:p>
          <w:p>
            <w:pPr>
              <w:spacing w:after="0"/>
            </w:pPr>
            <w:r>
              <w:rPr>
                <w:rFonts w:ascii="Consolas" w:cs="Consolas" w:eastAsia="Consolas" w:hAnsi="Consolas"/>
                <w:sz w:val="18"/>
                <w:szCs w:val="18"/>
              </w:rPr>
              <w:t xml:space="preserve">ip route 11.35.44.0 255.255.255.0 11.35.45.196 144</w:t>
            </w:r>
          </w:p>
          <w:p>
            <w:pPr>
              <w:spacing w:after="0"/>
            </w:pPr>
            <w:r>
              <w:rPr>
                <w:rFonts w:ascii="Consolas" w:cs="Consolas" w:eastAsia="Consolas" w:hAnsi="Consolas"/>
                <w:sz w:val="18"/>
                <w:szCs w:val="18"/>
              </w:rPr>
              <w:t xml:space="preserve">ip route 11.35.42.0 255.255.254.0 11.35.45.196 144</w:t>
            </w:r>
          </w:p>
        </w:tc>
      </w:tr>
    </w:tbl>
    <w:p>
      <w:pPr>
        <w:spacing w:after="200"/>
      </w:pPr>
    </w:p>
    <w:p>
      <w:pPr>
        <w:pStyle w:val="Heading2"/>
        <w:spacing w:after="150" w:before="300"/>
      </w:pPr>
      <w:r>
        <w:t xml:space="preserve">5.5 USR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0EC" w:val="clear"/>
            <w:tcMar>
              <w:top w:type="dxa" w:w="120"/>
              <w:left w:type="dxa" w:w="160"/>
              <w:bottom w:type="dxa" w:w="120"/>
              <w:right w:type="dxa" w:w="160"/>
            </w:tcMar>
          </w:tcPr>
          <w:p>
            <w:pPr>
              <w:spacing w:after="0"/>
            </w:pPr>
            <w:r>
              <w:rPr>
                <w:rFonts w:ascii="Consolas" w:cs="Consolas" w:eastAsia="Consolas" w:hAnsi="Consolas"/>
                <w:sz w:val="18"/>
                <w:szCs w:val="18"/>
              </w:rPr>
              <w:t xml:space="preserve">hostname USR</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interface GigabitEthernet0/0</w:t>
            </w:r>
          </w:p>
          <w:p>
            <w:pPr>
              <w:spacing w:after="0"/>
            </w:pPr>
            <w:r>
              <w:rPr>
                <w:rFonts w:ascii="Consolas" w:cs="Consolas" w:eastAsia="Consolas" w:hAnsi="Consolas"/>
                <w:sz w:val="18"/>
                <w:szCs w:val="18"/>
              </w:rPr>
              <w:t xml:space="preserve"> ip address 11.35.32.1 255.255.248.0</w:t>
            </w:r>
          </w:p>
          <w:p>
            <w:pPr>
              <w:spacing w:after="0"/>
            </w:pPr>
            <w:r>
              <w:rPr>
                <w:rFonts w:ascii="Consolas" w:cs="Consolas" w:eastAsia="Consolas" w:hAnsi="Consolas"/>
                <w:sz w:val="18"/>
                <w:szCs w:val="18"/>
              </w:rPr>
              <w:t xml:space="preserve"> ip helper-address 11.35.40.2</w:t>
            </w:r>
          </w:p>
          <w:p>
            <w:pPr>
              <w:spacing w:after="0"/>
            </w:pPr>
            <w:r>
              <w:rPr>
                <w:rFonts w:ascii="Consolas" w:cs="Consolas" w:eastAsia="Consolas" w:hAnsi="Consolas"/>
                <w:sz w:val="18"/>
                <w:szCs w:val="18"/>
              </w:rPr>
              <w:t xml:space="preserve"> no shutdown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interface Serial0/1/0</w:t>
            </w:r>
          </w:p>
          <w:p>
            <w:pPr>
              <w:spacing w:after="0"/>
            </w:pPr>
            <w:r>
              <w:rPr>
                <w:rFonts w:ascii="Consolas" w:cs="Consolas" w:eastAsia="Consolas" w:hAnsi="Consolas"/>
                <w:sz w:val="18"/>
                <w:szCs w:val="18"/>
              </w:rPr>
              <w:t xml:space="preserve"> ip address 11.35.45.217 255.255.255.252</w:t>
            </w:r>
          </w:p>
          <w:p>
            <w:pPr>
              <w:spacing w:after="0"/>
            </w:pPr>
            <w:r>
              <w:rPr>
                <w:rFonts w:ascii="Consolas" w:cs="Consolas" w:eastAsia="Consolas" w:hAnsi="Consolas"/>
                <w:sz w:val="18"/>
                <w:szCs w:val="18"/>
              </w:rPr>
              <w:t xml:space="preserve"> no shutdown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ip route 11.35.0.0 255.255.224.0 Serial0/1/0</w:t>
            </w:r>
          </w:p>
          <w:p>
            <w:pPr>
              <w:spacing w:after="0"/>
            </w:pPr>
            <w:r>
              <w:rPr>
                <w:rFonts w:ascii="Consolas" w:cs="Consolas" w:eastAsia="Consolas" w:hAnsi="Consolas"/>
                <w:sz w:val="18"/>
                <w:szCs w:val="18"/>
              </w:rPr>
              <w:t xml:space="preserve">ip route 11.35.44.0 255.255.255.0 Serial0/1/0</w:t>
            </w:r>
          </w:p>
          <w:p>
            <w:pPr>
              <w:spacing w:after="0"/>
            </w:pPr>
            <w:r>
              <w:rPr>
                <w:rFonts w:ascii="Consolas" w:cs="Consolas" w:eastAsia="Consolas" w:hAnsi="Consolas"/>
                <w:sz w:val="18"/>
                <w:szCs w:val="18"/>
              </w:rPr>
              <w:t xml:space="preserve">ip route 11.35.42.0 255.255.254.0 Serial0/1/0</w:t>
            </w:r>
          </w:p>
          <w:p>
            <w:pPr>
              <w:spacing w:after="0"/>
            </w:pPr>
            <w:r>
              <w:rPr>
                <w:rFonts w:ascii="Consolas" w:cs="Consolas" w:eastAsia="Consolas" w:hAnsi="Consolas"/>
                <w:sz w:val="18"/>
                <w:szCs w:val="18"/>
              </w:rPr>
              <w:t xml:space="preserve">ip route 11.35.40.0 255.255.254.0 Serial0/1/0</w:t>
            </w:r>
          </w:p>
          <w:p>
            <w:pPr>
              <w:spacing w:after="0"/>
            </w:pPr>
            <w:r>
              <w:rPr>
                <w:rFonts w:ascii="Consolas" w:cs="Consolas" w:eastAsia="Consolas" w:hAnsi="Consolas"/>
                <w:sz w:val="18"/>
                <w:szCs w:val="18"/>
              </w:rPr>
              <w:t xml:space="preserve">ip route 11.35.45.0 255.255.255.128 Serial0/1/0</w:t>
            </w:r>
          </w:p>
          <w:p>
            <w:pPr>
              <w:spacing w:after="0"/>
            </w:pPr>
            <w:r>
              <w:rPr>
                <w:rFonts w:ascii="Consolas" w:cs="Consolas" w:eastAsia="Consolas" w:hAnsi="Consolas"/>
                <w:sz w:val="18"/>
                <w:szCs w:val="18"/>
              </w:rPr>
              <w:t xml:space="preserve">ip route 11.35.45.128 255.255.255.192 Serial0/1/0</w:t>
            </w:r>
          </w:p>
        </w:tc>
      </w:tr>
    </w:tbl>
    <w:p>
      <w:pPr>
        <w:spacing w:after="200"/>
      </w:pPr>
    </w:p>
    <w:p>
      <w:pPr>
        <w:pStyle w:val="Heading2"/>
        <w:spacing w:after="150" w:before="300"/>
      </w:pPr>
      <w:r>
        <w:t xml:space="preserve">5.6 CRC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0EC" w:val="clear"/>
            <w:tcMar>
              <w:top w:type="dxa" w:w="120"/>
              <w:left w:type="dxa" w:w="160"/>
              <w:bottom w:type="dxa" w:w="120"/>
              <w:right w:type="dxa" w:w="160"/>
            </w:tcMar>
          </w:tcPr>
          <w:p>
            <w:pPr>
              <w:spacing w:after="0"/>
            </w:pPr>
            <w:r>
              <w:rPr>
                <w:rFonts w:ascii="Consolas" w:cs="Consolas" w:eastAsia="Consolas" w:hAnsi="Consolas"/>
                <w:sz w:val="18"/>
                <w:szCs w:val="18"/>
              </w:rPr>
              <w:t xml:space="preserve">hostname CRC</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interface GigabitEthernet0/0</w:t>
            </w:r>
          </w:p>
          <w:p>
            <w:pPr>
              <w:spacing w:after="0"/>
            </w:pPr>
            <w:r>
              <w:rPr>
                <w:rFonts w:ascii="Consolas" w:cs="Consolas" w:eastAsia="Consolas" w:hAnsi="Consolas"/>
                <w:sz w:val="18"/>
                <w:szCs w:val="18"/>
              </w:rPr>
              <w:t xml:space="preserve"> ip address 11.35.45.1 255.255.255.128</w:t>
            </w:r>
          </w:p>
          <w:p>
            <w:pPr>
              <w:spacing w:after="0"/>
            </w:pPr>
            <w:r>
              <w:rPr>
                <w:rFonts w:ascii="Consolas" w:cs="Consolas" w:eastAsia="Consolas" w:hAnsi="Consolas"/>
                <w:sz w:val="18"/>
                <w:szCs w:val="18"/>
              </w:rPr>
              <w:t xml:space="preserve"> no shutdown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interface GigabitEthernet0/1</w:t>
            </w:r>
          </w:p>
          <w:p>
            <w:pPr>
              <w:spacing w:after="0"/>
            </w:pPr>
            <w:r>
              <w:rPr>
                <w:rFonts w:ascii="Consolas" w:cs="Consolas" w:eastAsia="Consolas" w:hAnsi="Consolas"/>
                <w:sz w:val="18"/>
                <w:szCs w:val="18"/>
              </w:rPr>
              <w:t xml:space="preserve"> ip address 11.35.45.196 255.255.255.248</w:t>
            </w:r>
          </w:p>
          <w:p>
            <w:pPr>
              <w:spacing w:after="0"/>
            </w:pPr>
            <w:r>
              <w:rPr>
                <w:rFonts w:ascii="Consolas" w:cs="Consolas" w:eastAsia="Consolas" w:hAnsi="Consolas"/>
                <w:sz w:val="18"/>
                <w:szCs w:val="18"/>
              </w:rPr>
              <w:t xml:space="preserve"> no shutdown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interface Serial0/1/0</w:t>
            </w:r>
          </w:p>
          <w:p>
            <w:pPr>
              <w:spacing w:after="0"/>
            </w:pPr>
            <w:r>
              <w:rPr>
                <w:rFonts w:ascii="Consolas" w:cs="Consolas" w:eastAsia="Consolas" w:hAnsi="Consolas"/>
                <w:sz w:val="18"/>
                <w:szCs w:val="18"/>
              </w:rPr>
              <w:t xml:space="preserve"> ip address 11.35.45.221 255.255.255.252</w:t>
            </w:r>
          </w:p>
          <w:p>
            <w:pPr>
              <w:spacing w:after="0"/>
            </w:pPr>
            <w:r>
              <w:rPr>
                <w:rFonts w:ascii="Consolas" w:cs="Consolas" w:eastAsia="Consolas" w:hAnsi="Consolas"/>
                <w:sz w:val="18"/>
                <w:szCs w:val="18"/>
              </w:rPr>
              <w:t xml:space="preserve"> clock rate 64000</w:t>
            </w:r>
          </w:p>
          <w:p>
            <w:pPr>
              <w:spacing w:after="0"/>
            </w:pPr>
            <w:r>
              <w:rPr>
                <w:rFonts w:ascii="Consolas" w:cs="Consolas" w:eastAsia="Consolas" w:hAnsi="Consolas"/>
                <w:sz w:val="18"/>
                <w:szCs w:val="18"/>
              </w:rPr>
              <w:t xml:space="preserve"> no shutdown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ip route 11.35.0.0 255.255.224.0 11.35.45.193</w:t>
            </w:r>
          </w:p>
          <w:p>
            <w:pPr>
              <w:spacing w:after="0"/>
            </w:pPr>
            <w:r>
              <w:rPr>
                <w:rFonts w:ascii="Consolas" w:cs="Consolas" w:eastAsia="Consolas" w:hAnsi="Consolas"/>
                <w:sz w:val="18"/>
                <w:szCs w:val="18"/>
              </w:rPr>
              <w:t xml:space="preserve">ip route 11.35.44.0 255.255.255.0 11.35.45.193</w:t>
            </w:r>
          </w:p>
          <w:p>
            <w:pPr>
              <w:spacing w:after="0"/>
            </w:pPr>
            <w:r>
              <w:rPr>
                <w:rFonts w:ascii="Consolas" w:cs="Consolas" w:eastAsia="Consolas" w:hAnsi="Consolas"/>
                <w:sz w:val="18"/>
                <w:szCs w:val="18"/>
              </w:rPr>
              <w:t xml:space="preserve">ip route 11.35.42.0 255.255.254.0 11.35.45.193</w:t>
            </w:r>
          </w:p>
          <w:p>
            <w:pPr>
              <w:spacing w:after="0"/>
            </w:pPr>
            <w:r>
              <w:rPr>
                <w:rFonts w:ascii="Consolas" w:cs="Consolas" w:eastAsia="Consolas" w:hAnsi="Consolas"/>
                <w:sz w:val="18"/>
                <w:szCs w:val="18"/>
              </w:rPr>
              <w:t xml:space="preserve">ip route 11.35.40.0 255.255.254.0 11.35.45.195</w:t>
            </w:r>
          </w:p>
          <w:p>
            <w:pPr>
              <w:spacing w:after="0"/>
            </w:pPr>
            <w:r>
              <w:rPr>
                <w:rFonts w:ascii="Consolas" w:cs="Consolas" w:eastAsia="Consolas" w:hAnsi="Consolas"/>
                <w:sz w:val="18"/>
                <w:szCs w:val="18"/>
              </w:rPr>
              <w:t xml:space="preserve">ip route 11.35.32.0 255.255.248.0 11.35.45.195</w:t>
            </w:r>
          </w:p>
          <w:p>
            <w:pPr>
              <w:spacing w:after="0"/>
            </w:pPr>
            <w:r>
              <w:rPr>
                <w:rFonts w:ascii="Consolas" w:cs="Consolas" w:eastAsia="Consolas" w:hAnsi="Consolas"/>
                <w:sz w:val="18"/>
                <w:szCs w:val="18"/>
              </w:rPr>
              <w:t xml:space="preserve">ip route 11.35.45.128 255.255.255.192 11.35.45.222</w:t>
            </w:r>
          </w:p>
          <w:p>
            <w:pPr>
              <w:spacing w:after="0"/>
            </w:pPr>
            <w:r>
              <w:rPr>
                <w:rFonts w:ascii="Consolas" w:cs="Consolas" w:eastAsia="Consolas" w:hAnsi="Consolas"/>
                <w:sz w:val="18"/>
                <w:szCs w:val="18"/>
              </w:rPr>
              <w:t xml:space="preserve">ip route 11.35.0.0 255.255.224.0 11.35.45.194 144</w:t>
            </w:r>
          </w:p>
          <w:p>
            <w:pPr>
              <w:spacing w:after="0"/>
            </w:pPr>
            <w:r>
              <w:rPr>
                <w:rFonts w:ascii="Consolas" w:cs="Consolas" w:eastAsia="Consolas" w:hAnsi="Consolas"/>
                <w:sz w:val="18"/>
                <w:szCs w:val="18"/>
              </w:rPr>
              <w:t xml:space="preserve">ip route 11.35.44.0 255.255.255.0 11.35.45.194 144</w:t>
            </w:r>
          </w:p>
          <w:p>
            <w:pPr>
              <w:spacing w:after="0"/>
            </w:pPr>
            <w:r>
              <w:rPr>
                <w:rFonts w:ascii="Consolas" w:cs="Consolas" w:eastAsia="Consolas" w:hAnsi="Consolas"/>
                <w:sz w:val="18"/>
                <w:szCs w:val="18"/>
              </w:rPr>
              <w:t xml:space="preserve">ip route 11.35.42.0 255.255.254.0 11.35.45.194 144</w:t>
            </w:r>
          </w:p>
        </w:tc>
      </w:tr>
    </w:tbl>
    <w:p>
      <w:pPr>
        <w:spacing w:after="200"/>
      </w:pPr>
    </w:p>
    <w:p>
      <w:pPr>
        <w:pStyle w:val="Heading2"/>
        <w:spacing w:after="150" w:before="300"/>
      </w:pPr>
      <w:r>
        <w:t xml:space="preserve">5.7 MOP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0F0EC" w:val="clear"/>
            <w:tcMar>
              <w:top w:type="dxa" w:w="120"/>
              <w:left w:type="dxa" w:w="160"/>
              <w:bottom w:type="dxa" w:w="120"/>
              <w:right w:type="dxa" w:w="160"/>
            </w:tcMar>
          </w:tcPr>
          <w:p>
            <w:pPr>
              <w:spacing w:after="0"/>
            </w:pPr>
            <w:r>
              <w:rPr>
                <w:rFonts w:ascii="Consolas" w:cs="Consolas" w:eastAsia="Consolas" w:hAnsi="Consolas"/>
                <w:sz w:val="18"/>
                <w:szCs w:val="18"/>
              </w:rPr>
              <w:t xml:space="preserve">hostname MOP</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interface GigabitEthernet0/0</w:t>
            </w:r>
          </w:p>
          <w:p>
            <w:pPr>
              <w:spacing w:after="0"/>
            </w:pPr>
            <w:r>
              <w:rPr>
                <w:rFonts w:ascii="Consolas" w:cs="Consolas" w:eastAsia="Consolas" w:hAnsi="Consolas"/>
                <w:sz w:val="18"/>
                <w:szCs w:val="18"/>
              </w:rPr>
              <w:t xml:space="preserve"> ip address 11.35.45.129 255.255.255.192</w:t>
            </w:r>
          </w:p>
          <w:p>
            <w:pPr>
              <w:spacing w:after="0"/>
            </w:pPr>
            <w:r>
              <w:rPr>
                <w:rFonts w:ascii="Consolas" w:cs="Consolas" w:eastAsia="Consolas" w:hAnsi="Consolas"/>
                <w:sz w:val="18"/>
                <w:szCs w:val="18"/>
              </w:rPr>
              <w:t xml:space="preserve"> ip helper-address 11.35.45.2</w:t>
            </w:r>
          </w:p>
          <w:p>
            <w:pPr>
              <w:spacing w:after="0"/>
            </w:pPr>
            <w:r>
              <w:rPr>
                <w:rFonts w:ascii="Consolas" w:cs="Consolas" w:eastAsia="Consolas" w:hAnsi="Consolas"/>
                <w:sz w:val="18"/>
                <w:szCs w:val="18"/>
              </w:rPr>
              <w:t xml:space="preserve"> no shutdown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interface Serial0/1/0</w:t>
            </w:r>
          </w:p>
          <w:p>
            <w:pPr>
              <w:spacing w:after="0"/>
            </w:pPr>
            <w:r>
              <w:rPr>
                <w:rFonts w:ascii="Consolas" w:cs="Consolas" w:eastAsia="Consolas" w:hAnsi="Consolas"/>
                <w:sz w:val="18"/>
                <w:szCs w:val="18"/>
              </w:rPr>
              <w:t xml:space="preserve"> ip address 11.35.45.222 255.255.255.252</w:t>
            </w:r>
          </w:p>
          <w:p>
            <w:pPr>
              <w:spacing w:after="0"/>
            </w:pPr>
            <w:r>
              <w:rPr>
                <w:rFonts w:ascii="Consolas" w:cs="Consolas" w:eastAsia="Consolas" w:hAnsi="Consolas"/>
                <w:sz w:val="18"/>
                <w:szCs w:val="18"/>
              </w:rPr>
              <w:t xml:space="preserve"> no shutdown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ip route 11.35.0.0 255.255.224.0 Serial0/1/0</w:t>
            </w:r>
          </w:p>
          <w:p>
            <w:pPr>
              <w:spacing w:after="0"/>
            </w:pPr>
            <w:r>
              <w:rPr>
                <w:rFonts w:ascii="Consolas" w:cs="Consolas" w:eastAsia="Consolas" w:hAnsi="Consolas"/>
                <w:sz w:val="18"/>
                <w:szCs w:val="18"/>
              </w:rPr>
              <w:t xml:space="preserve">ip route 11.35.44.0 255.255.255.0 Serial0/1/0</w:t>
            </w:r>
          </w:p>
          <w:p>
            <w:pPr>
              <w:spacing w:after="0"/>
            </w:pPr>
            <w:r>
              <w:rPr>
                <w:rFonts w:ascii="Consolas" w:cs="Consolas" w:eastAsia="Consolas" w:hAnsi="Consolas"/>
                <w:sz w:val="18"/>
                <w:szCs w:val="18"/>
              </w:rPr>
              <w:t xml:space="preserve">ip route 11.35.42.0 255.255.254.0 Serial0/1/0</w:t>
            </w:r>
          </w:p>
          <w:p>
            <w:pPr>
              <w:spacing w:after="0"/>
            </w:pPr>
            <w:r>
              <w:rPr>
                <w:rFonts w:ascii="Consolas" w:cs="Consolas" w:eastAsia="Consolas" w:hAnsi="Consolas"/>
                <w:sz w:val="18"/>
                <w:szCs w:val="18"/>
              </w:rPr>
              <w:t xml:space="preserve">ip route 11.35.40.0 255.255.254.0 Serial0/1/0</w:t>
            </w:r>
          </w:p>
          <w:p>
            <w:pPr>
              <w:spacing w:after="0"/>
            </w:pPr>
            <w:r>
              <w:rPr>
                <w:rFonts w:ascii="Consolas" w:cs="Consolas" w:eastAsia="Consolas" w:hAnsi="Consolas"/>
                <w:sz w:val="18"/>
                <w:szCs w:val="18"/>
              </w:rPr>
              <w:t xml:space="preserve">ip route 11.35.32.0 255.255.248.0 Serial0/1/0</w:t>
            </w:r>
          </w:p>
          <w:p>
            <w:pPr>
              <w:spacing w:after="0"/>
            </w:pPr>
            <w:r>
              <w:rPr>
                <w:rFonts w:ascii="Consolas" w:cs="Consolas" w:eastAsia="Consolas" w:hAnsi="Consolas"/>
                <w:sz w:val="18"/>
                <w:szCs w:val="18"/>
              </w:rPr>
              <w:t xml:space="preserve">ip route 11.35.45.0 255.255.255.128 Serial0/1/0</w:t>
            </w:r>
          </w:p>
        </w:tc>
      </w:tr>
    </w:tbl>
    <w:p>
      <w:pPr>
        <w:spacing w:after="200"/>
      </w:pPr>
    </w:p>
    <w:p>
      <w:pPr>
        <w:pStyle w:val="Heading1"/>
        <w:spacing w:after="200" w:before="400"/>
      </w:pPr>
      <w:r>
        <w:t xml:space="preserve">6. DHCP Configuration</w:t>
      </w:r>
    </w:p>
    <w:p>
      <w:pPr>
        <w:spacing w:after="160"/>
      </w:pPr>
      <w:r>
        <w:t xml:space="preserve">DHCP is delivered two ways in this design, deliberately: router-based (native IOS) for the RIP-domain sites, and server-based (Packet Tracer Server service) elsewhere.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100"/>
        <w:gridCol w:w="1400"/>
        <w:gridCol w:w="900"/>
        <w:gridCol w:w="1360"/>
      </w:tblGrid>
      <w:tr>
        <w:trPr>
          <w:tblHeader/>
        </w:trPr>
        <w:tc>
          <w:tcPr>
            <w:tcW w:type="dxa" w:w="1560"/>
            <w:shd w:fill="DCE3F7" w:val="clear"/>
            <w:tcMar>
              <w:top w:type="dxa" w:w="60"/>
              <w:left w:type="dxa" w:w="100"/>
              <w:bottom w:type="dxa" w:w="60"/>
              <w:right w:type="dxa" w:w="100"/>
            </w:tcMar>
            <w:vAlign w:val="center"/>
          </w:tcPr>
          <w:p>
            <w:r>
              <w:rPr>
                <w:b/>
                <w:bCs/>
                <w:sz w:val="19"/>
                <w:szCs w:val="19"/>
              </w:rPr>
              <w:t xml:space="preserve">Server</w:t>
            </w:r>
          </w:p>
        </w:tc>
        <w:tc>
          <w:tcPr>
            <w:tcW w:type="dxa" w:w="1300"/>
            <w:shd w:fill="DCE3F7" w:val="clear"/>
            <w:tcMar>
              <w:top w:type="dxa" w:w="60"/>
              <w:left w:type="dxa" w:w="100"/>
              <w:bottom w:type="dxa" w:w="60"/>
              <w:right w:type="dxa" w:w="100"/>
            </w:tcMar>
            <w:vAlign w:val="center"/>
          </w:tcPr>
          <w:p>
            <w:r>
              <w:rPr>
                <w:b/>
                <w:bCs/>
                <w:sz w:val="19"/>
                <w:szCs w:val="19"/>
              </w:rPr>
              <w:t xml:space="preserve">Pool</w:t>
            </w:r>
          </w:p>
        </w:tc>
        <w:tc>
          <w:tcPr>
            <w:tcW w:type="dxa" w:w="1300"/>
            <w:shd w:fill="DCE3F7" w:val="clear"/>
            <w:tcMar>
              <w:top w:type="dxa" w:w="60"/>
              <w:left w:type="dxa" w:w="100"/>
              <w:bottom w:type="dxa" w:w="60"/>
              <w:right w:type="dxa" w:w="100"/>
            </w:tcMar>
            <w:vAlign w:val="center"/>
          </w:tcPr>
          <w:p>
            <w:r>
              <w:rPr>
                <w:b/>
                <w:bCs/>
                <w:sz w:val="19"/>
                <w:szCs w:val="19"/>
              </w:rPr>
              <w:t xml:space="preserve">Gateway</w:t>
            </w:r>
          </w:p>
        </w:tc>
        <w:tc>
          <w:tcPr>
            <w:tcW w:type="dxa" w:w="1100"/>
            <w:shd w:fill="DCE3F7" w:val="clear"/>
            <w:tcMar>
              <w:top w:type="dxa" w:w="60"/>
              <w:left w:type="dxa" w:w="100"/>
              <w:bottom w:type="dxa" w:w="60"/>
              <w:right w:type="dxa" w:w="100"/>
            </w:tcMar>
            <w:vAlign w:val="center"/>
          </w:tcPr>
          <w:p>
            <w:r>
              <w:rPr>
                <w:b/>
                <w:bCs/>
                <w:sz w:val="19"/>
                <w:szCs w:val="19"/>
              </w:rPr>
              <w:t xml:space="preserve">DNS</w:t>
            </w:r>
          </w:p>
        </w:tc>
        <w:tc>
          <w:tcPr>
            <w:tcW w:type="dxa" w:w="1400"/>
            <w:shd w:fill="DCE3F7" w:val="clear"/>
            <w:tcMar>
              <w:top w:type="dxa" w:w="60"/>
              <w:left w:type="dxa" w:w="100"/>
              <w:bottom w:type="dxa" w:w="60"/>
              <w:right w:type="dxa" w:w="100"/>
            </w:tcMar>
            <w:vAlign w:val="center"/>
          </w:tcPr>
          <w:p>
            <w:r>
              <w:rPr>
                <w:b/>
                <w:bCs/>
                <w:sz w:val="19"/>
                <w:szCs w:val="19"/>
              </w:rPr>
              <w:t xml:space="preserve">Start IP</w:t>
            </w:r>
          </w:p>
        </w:tc>
        <w:tc>
          <w:tcPr>
            <w:tcW w:type="dxa" w:w="900"/>
            <w:shd w:fill="DCE3F7" w:val="clear"/>
            <w:tcMar>
              <w:top w:type="dxa" w:w="60"/>
              <w:left w:type="dxa" w:w="100"/>
              <w:bottom w:type="dxa" w:w="60"/>
              <w:right w:type="dxa" w:w="100"/>
            </w:tcMar>
            <w:vAlign w:val="center"/>
          </w:tcPr>
          <w:p>
            <w:r>
              <w:rPr>
                <w:b/>
                <w:bCs/>
                <w:sz w:val="19"/>
                <w:szCs w:val="19"/>
              </w:rPr>
              <w:t xml:space="preserve">Mask</w:t>
            </w:r>
          </w:p>
        </w:tc>
        <w:tc>
          <w:tcPr>
            <w:tcW w:type="dxa" w:w="1360"/>
            <w:shd w:fill="DCE3F7" w:val="clear"/>
            <w:tcMar>
              <w:top w:type="dxa" w:w="60"/>
              <w:left w:type="dxa" w:w="100"/>
              <w:bottom w:type="dxa" w:w="60"/>
              <w:right w:type="dxa" w:w="100"/>
            </w:tcMar>
            <w:vAlign w:val="center"/>
          </w:tcPr>
          <w:p>
            <w:r>
              <w:rPr>
                <w:b/>
                <w:bCs/>
                <w:sz w:val="19"/>
                <w:szCs w:val="19"/>
              </w:rPr>
              <w:t xml:space="preserve">Max users</w:t>
            </w:r>
          </w:p>
        </w:tc>
      </w:tr>
      <w:tr>
        <w:tc>
          <w:tcPr>
            <w:tcW w:type="dxa" w:w="1560"/>
            <w:tcMar>
              <w:top w:type="dxa" w:w="60"/>
              <w:left w:type="dxa" w:w="100"/>
              <w:bottom w:type="dxa" w:w="60"/>
              <w:right w:type="dxa" w:w="100"/>
            </w:tcMar>
            <w:vAlign w:val="center"/>
          </w:tcPr>
          <w:p>
            <w:r>
              <w:rPr>
                <w:b w:val="false"/>
                <w:bCs w:val="false"/>
                <w:sz w:val="19"/>
                <w:szCs w:val="19"/>
              </w:rPr>
              <w:t xml:space="preserve">NEOC (IOS)</w:t>
            </w:r>
          </w:p>
        </w:tc>
        <w:tc>
          <w:tcPr>
            <w:tcW w:type="dxa" w:w="1300"/>
            <w:tcMar>
              <w:top w:type="dxa" w:w="60"/>
              <w:left w:type="dxa" w:w="100"/>
              <w:bottom w:type="dxa" w:w="60"/>
              <w:right w:type="dxa" w:w="100"/>
            </w:tcMar>
            <w:vAlign w:val="center"/>
          </w:tcPr>
          <w:p>
            <w:r>
              <w:rPr>
                <w:b w:val="false"/>
                <w:bCs w:val="false"/>
                <w:sz w:val="19"/>
                <w:szCs w:val="19"/>
              </w:rPr>
              <w:t xml:space="preserve">NEOC-POOL</w:t>
            </w:r>
          </w:p>
        </w:tc>
        <w:tc>
          <w:tcPr>
            <w:tcW w:type="dxa" w:w="1300"/>
            <w:tcMar>
              <w:top w:type="dxa" w:w="60"/>
              <w:left w:type="dxa" w:w="100"/>
              <w:bottom w:type="dxa" w:w="60"/>
              <w:right w:type="dxa" w:w="100"/>
            </w:tcMar>
            <w:vAlign w:val="center"/>
          </w:tcPr>
          <w:p>
            <w:r>
              <w:rPr>
                <w:b w:val="false"/>
                <w:bCs w:val="false"/>
                <w:sz w:val="19"/>
                <w:szCs w:val="19"/>
              </w:rPr>
              <w:t xml:space="preserve">11.35.0.1</w:t>
            </w:r>
          </w:p>
        </w:tc>
        <w:tc>
          <w:tcPr>
            <w:tcW w:type="dxa" w:w="1100"/>
            <w:tcMar>
              <w:top w:type="dxa" w:w="60"/>
              <w:left w:type="dxa" w:w="100"/>
              <w:bottom w:type="dxa" w:w="60"/>
              <w:right w:type="dxa" w:w="100"/>
            </w:tcMar>
            <w:vAlign w:val="center"/>
          </w:tcPr>
          <w:p>
            <w:r>
              <w:rPr>
                <w:b w:val="false"/>
                <w:bCs w:val="false"/>
                <w:sz w:val="19"/>
                <w:szCs w:val="19"/>
              </w:rPr>
              <w:t xml:space="preserve">11.35.0.2</w:t>
            </w:r>
          </w:p>
        </w:tc>
        <w:tc>
          <w:tcPr>
            <w:tcW w:type="dxa" w:w="1400"/>
            <w:tcMar>
              <w:top w:type="dxa" w:w="60"/>
              <w:left w:type="dxa" w:w="100"/>
              <w:bottom w:type="dxa" w:w="60"/>
              <w:right w:type="dxa" w:w="100"/>
            </w:tcMar>
            <w:vAlign w:val="center"/>
          </w:tcPr>
          <w:p>
            <w:r>
              <w:rPr>
                <w:b w:val="false"/>
                <w:bCs w:val="false"/>
                <w:sz w:val="19"/>
                <w:szCs w:val="19"/>
              </w:rPr>
              <w:t xml:space="preserve">11.35.0.4</w:t>
            </w:r>
          </w:p>
        </w:tc>
        <w:tc>
          <w:tcPr>
            <w:tcW w:type="dxa" w:w="900"/>
            <w:tcMar>
              <w:top w:type="dxa" w:w="60"/>
              <w:left w:type="dxa" w:w="100"/>
              <w:bottom w:type="dxa" w:w="60"/>
              <w:right w:type="dxa" w:w="100"/>
            </w:tcMar>
            <w:vAlign w:val="center"/>
          </w:tcPr>
          <w:p>
            <w:r>
              <w:rPr>
                <w:b w:val="false"/>
                <w:bCs w:val="false"/>
                <w:sz w:val="19"/>
                <w:szCs w:val="19"/>
              </w:rPr>
              <w:t xml:space="preserve">/19</w:t>
            </w:r>
          </w:p>
        </w:tc>
        <w:tc>
          <w:tcPr>
            <w:tcW w:type="dxa" w:w="1360"/>
            <w:tcMar>
              <w:top w:type="dxa" w:w="60"/>
              <w:left w:type="dxa" w:w="100"/>
              <w:bottom w:type="dxa" w:w="60"/>
              <w:right w:type="dxa" w:w="100"/>
            </w:tcMar>
            <w:vAlign w:val="center"/>
          </w:tcPr>
          <w:p>
            <w:r>
              <w:rPr>
                <w:b w:val="false"/>
                <w:bCs w:val="false"/>
                <w:sz w:val="19"/>
                <w:szCs w:val="19"/>
              </w:rPr>
              <w:t xml:space="preserve">—</w:t>
            </w:r>
          </w:p>
        </w:tc>
      </w:tr>
      <w:tr>
        <w:tc>
          <w:tcPr>
            <w:tcW w:type="dxa" w:w="1560"/>
            <w:tcMar>
              <w:top w:type="dxa" w:w="60"/>
              <w:left w:type="dxa" w:w="100"/>
              <w:bottom w:type="dxa" w:w="60"/>
              <w:right w:type="dxa" w:w="100"/>
            </w:tcMar>
            <w:vAlign w:val="center"/>
          </w:tcPr>
          <w:p>
            <w:r>
              <w:rPr>
                <w:b w:val="false"/>
                <w:bCs w:val="false"/>
                <w:sz w:val="19"/>
                <w:szCs w:val="19"/>
              </w:rPr>
              <w:t xml:space="preserve">NEOC (IOS)</w:t>
            </w:r>
          </w:p>
        </w:tc>
        <w:tc>
          <w:tcPr>
            <w:tcW w:type="dxa" w:w="1300"/>
            <w:tcMar>
              <w:top w:type="dxa" w:w="60"/>
              <w:left w:type="dxa" w:w="100"/>
              <w:bottom w:type="dxa" w:w="60"/>
              <w:right w:type="dxa" w:w="100"/>
            </w:tcMar>
            <w:vAlign w:val="center"/>
          </w:tcPr>
          <w:p>
            <w:r>
              <w:rPr>
                <w:b w:val="false"/>
                <w:bCs w:val="false"/>
                <w:sz w:val="19"/>
                <w:szCs w:val="19"/>
              </w:rPr>
              <w:t xml:space="preserve">SMS-POOL</w:t>
            </w:r>
          </w:p>
        </w:tc>
        <w:tc>
          <w:tcPr>
            <w:tcW w:type="dxa" w:w="1300"/>
            <w:tcMar>
              <w:top w:type="dxa" w:w="60"/>
              <w:left w:type="dxa" w:w="100"/>
              <w:bottom w:type="dxa" w:w="60"/>
              <w:right w:type="dxa" w:w="100"/>
            </w:tcMar>
            <w:vAlign w:val="center"/>
          </w:tcPr>
          <w:p>
            <w:r>
              <w:rPr>
                <w:b w:val="false"/>
                <w:bCs w:val="false"/>
                <w:sz w:val="19"/>
                <w:szCs w:val="19"/>
              </w:rPr>
              <w:t xml:space="preserve">11.35.44.1</w:t>
            </w:r>
          </w:p>
        </w:tc>
        <w:tc>
          <w:tcPr>
            <w:tcW w:type="dxa" w:w="1100"/>
            <w:tcMar>
              <w:top w:type="dxa" w:w="60"/>
              <w:left w:type="dxa" w:w="100"/>
              <w:bottom w:type="dxa" w:w="60"/>
              <w:right w:type="dxa" w:w="100"/>
            </w:tcMar>
            <w:vAlign w:val="center"/>
          </w:tcPr>
          <w:p>
            <w:r>
              <w:rPr>
                <w:b w:val="false"/>
                <w:bCs w:val="false"/>
                <w:sz w:val="19"/>
                <w:szCs w:val="19"/>
              </w:rPr>
              <w:t xml:space="preserve">11.35.0.2</w:t>
            </w:r>
          </w:p>
        </w:tc>
        <w:tc>
          <w:tcPr>
            <w:tcW w:type="dxa" w:w="1400"/>
            <w:tcMar>
              <w:top w:type="dxa" w:w="60"/>
              <w:left w:type="dxa" w:w="100"/>
              <w:bottom w:type="dxa" w:w="60"/>
              <w:right w:type="dxa" w:w="100"/>
            </w:tcMar>
            <w:vAlign w:val="center"/>
          </w:tcPr>
          <w:p>
            <w:r>
              <w:rPr>
                <w:b w:val="false"/>
                <w:bCs w:val="false"/>
                <w:sz w:val="19"/>
                <w:szCs w:val="19"/>
              </w:rPr>
              <w:t xml:space="preserve">11.35.44.4</w:t>
            </w:r>
          </w:p>
        </w:tc>
        <w:tc>
          <w:tcPr>
            <w:tcW w:type="dxa" w:w="900"/>
            <w:tcMar>
              <w:top w:type="dxa" w:w="60"/>
              <w:left w:type="dxa" w:w="100"/>
              <w:bottom w:type="dxa" w:w="60"/>
              <w:right w:type="dxa" w:w="100"/>
            </w:tcMar>
            <w:vAlign w:val="center"/>
          </w:tcPr>
          <w:p>
            <w:r>
              <w:rPr>
                <w:b w:val="false"/>
                <w:bCs w:val="false"/>
                <w:sz w:val="19"/>
                <w:szCs w:val="19"/>
              </w:rPr>
              <w:t xml:space="preserve">/24</w:t>
            </w:r>
          </w:p>
        </w:tc>
        <w:tc>
          <w:tcPr>
            <w:tcW w:type="dxa" w:w="1360"/>
            <w:tcMar>
              <w:top w:type="dxa" w:w="60"/>
              <w:left w:type="dxa" w:w="100"/>
              <w:bottom w:type="dxa" w:w="60"/>
              <w:right w:type="dxa" w:w="100"/>
            </w:tcMar>
            <w:vAlign w:val="center"/>
          </w:tcPr>
          <w:p>
            <w:r>
              <w:rPr>
                <w:b w:val="false"/>
                <w:bCs w:val="false"/>
                <w:sz w:val="19"/>
                <w:szCs w:val="19"/>
              </w:rPr>
              <w:t xml:space="preserve">—</w:t>
            </w:r>
          </w:p>
        </w:tc>
      </w:tr>
      <w:tr>
        <w:tc>
          <w:tcPr>
            <w:tcW w:type="dxa" w:w="1560"/>
            <w:tcMar>
              <w:top w:type="dxa" w:w="60"/>
              <w:left w:type="dxa" w:w="100"/>
              <w:bottom w:type="dxa" w:w="60"/>
              <w:right w:type="dxa" w:w="100"/>
            </w:tcMar>
            <w:vAlign w:val="center"/>
          </w:tcPr>
          <w:p>
            <w:r>
              <w:rPr>
                <w:b w:val="false"/>
                <w:bCs w:val="false"/>
                <w:sz w:val="19"/>
                <w:szCs w:val="19"/>
              </w:rPr>
              <w:t xml:space="preserve">NEOC (IOS)</w:t>
            </w:r>
          </w:p>
        </w:tc>
        <w:tc>
          <w:tcPr>
            <w:tcW w:type="dxa" w:w="1300"/>
            <w:tcMar>
              <w:top w:type="dxa" w:w="60"/>
              <w:left w:type="dxa" w:w="100"/>
              <w:bottom w:type="dxa" w:w="60"/>
              <w:right w:type="dxa" w:w="100"/>
            </w:tcMar>
            <w:vAlign w:val="center"/>
          </w:tcPr>
          <w:p>
            <w:r>
              <w:rPr>
                <w:b w:val="false"/>
                <w:bCs w:val="false"/>
                <w:sz w:val="19"/>
                <w:szCs w:val="19"/>
              </w:rPr>
              <w:t xml:space="preserve">FRH-POOL</w:t>
            </w:r>
          </w:p>
        </w:tc>
        <w:tc>
          <w:tcPr>
            <w:tcW w:type="dxa" w:w="1300"/>
            <w:tcMar>
              <w:top w:type="dxa" w:w="60"/>
              <w:left w:type="dxa" w:w="100"/>
              <w:bottom w:type="dxa" w:w="60"/>
              <w:right w:type="dxa" w:w="100"/>
            </w:tcMar>
            <w:vAlign w:val="center"/>
          </w:tcPr>
          <w:p>
            <w:r>
              <w:rPr>
                <w:b w:val="false"/>
                <w:bCs w:val="false"/>
                <w:sz w:val="19"/>
                <w:szCs w:val="19"/>
              </w:rPr>
              <w:t xml:space="preserve">11.35.42.1</w:t>
            </w:r>
          </w:p>
        </w:tc>
        <w:tc>
          <w:tcPr>
            <w:tcW w:type="dxa" w:w="1100"/>
            <w:tcMar>
              <w:top w:type="dxa" w:w="60"/>
              <w:left w:type="dxa" w:w="100"/>
              <w:bottom w:type="dxa" w:w="60"/>
              <w:right w:type="dxa" w:w="100"/>
            </w:tcMar>
            <w:vAlign w:val="center"/>
          </w:tcPr>
          <w:p>
            <w:r>
              <w:rPr>
                <w:b w:val="false"/>
                <w:bCs w:val="false"/>
                <w:sz w:val="19"/>
                <w:szCs w:val="19"/>
              </w:rPr>
              <w:t xml:space="preserve">11.35.0.2</w:t>
            </w:r>
          </w:p>
        </w:tc>
        <w:tc>
          <w:tcPr>
            <w:tcW w:type="dxa" w:w="1400"/>
            <w:tcMar>
              <w:top w:type="dxa" w:w="60"/>
              <w:left w:type="dxa" w:w="100"/>
              <w:bottom w:type="dxa" w:w="60"/>
              <w:right w:type="dxa" w:w="100"/>
            </w:tcMar>
            <w:vAlign w:val="center"/>
          </w:tcPr>
          <w:p>
            <w:r>
              <w:rPr>
                <w:b w:val="false"/>
                <w:bCs w:val="false"/>
                <w:sz w:val="19"/>
                <w:szCs w:val="19"/>
              </w:rPr>
              <w:t xml:space="preserve">11.35.42.4</w:t>
            </w:r>
          </w:p>
        </w:tc>
        <w:tc>
          <w:tcPr>
            <w:tcW w:type="dxa" w:w="900"/>
            <w:tcMar>
              <w:top w:type="dxa" w:w="60"/>
              <w:left w:type="dxa" w:w="100"/>
              <w:bottom w:type="dxa" w:w="60"/>
              <w:right w:type="dxa" w:w="100"/>
            </w:tcMar>
            <w:vAlign w:val="center"/>
          </w:tcPr>
          <w:p>
            <w:r>
              <w:rPr>
                <w:b w:val="false"/>
                <w:bCs w:val="false"/>
                <w:sz w:val="19"/>
                <w:szCs w:val="19"/>
              </w:rPr>
              <w:t xml:space="preserve">/23</w:t>
            </w:r>
          </w:p>
        </w:tc>
        <w:tc>
          <w:tcPr>
            <w:tcW w:type="dxa" w:w="1360"/>
            <w:tcMar>
              <w:top w:type="dxa" w:w="60"/>
              <w:left w:type="dxa" w:w="100"/>
              <w:bottom w:type="dxa" w:w="60"/>
              <w:right w:type="dxa" w:w="100"/>
            </w:tcMar>
            <w:vAlign w:val="center"/>
          </w:tcPr>
          <w:p>
            <w:r>
              <w:rPr>
                <w:b w:val="false"/>
                <w:bCs w:val="false"/>
                <w:sz w:val="19"/>
                <w:szCs w:val="19"/>
              </w:rPr>
              <w:t xml:space="preserve">—</w:t>
            </w:r>
          </w:p>
        </w:tc>
      </w:tr>
      <w:tr>
        <w:tc>
          <w:tcPr>
            <w:tcW w:type="dxa" w:w="1560"/>
            <w:tcMar>
              <w:top w:type="dxa" w:w="60"/>
              <w:left w:type="dxa" w:w="100"/>
              <w:bottom w:type="dxa" w:w="60"/>
              <w:right w:type="dxa" w:w="100"/>
            </w:tcMar>
            <w:vAlign w:val="center"/>
          </w:tcPr>
          <w:p>
            <w:r>
              <w:rPr>
                <w:b w:val="false"/>
                <w:bCs w:val="false"/>
                <w:sz w:val="19"/>
                <w:szCs w:val="19"/>
              </w:rPr>
              <w:t xml:space="preserve">MEC-SRV</w:t>
            </w:r>
          </w:p>
        </w:tc>
        <w:tc>
          <w:tcPr>
            <w:tcW w:type="dxa" w:w="1300"/>
            <w:tcMar>
              <w:top w:type="dxa" w:w="60"/>
              <w:left w:type="dxa" w:w="100"/>
              <w:bottom w:type="dxa" w:w="60"/>
              <w:right w:type="dxa" w:w="100"/>
            </w:tcMar>
            <w:vAlign w:val="center"/>
          </w:tcPr>
          <w:p>
            <w:r>
              <w:rPr>
                <w:b w:val="false"/>
                <w:bCs w:val="false"/>
                <w:sz w:val="19"/>
                <w:szCs w:val="19"/>
              </w:rPr>
              <w:t xml:space="preserve">MEC-POOL</w:t>
            </w:r>
          </w:p>
        </w:tc>
        <w:tc>
          <w:tcPr>
            <w:tcW w:type="dxa" w:w="1300"/>
            <w:tcMar>
              <w:top w:type="dxa" w:w="60"/>
              <w:left w:type="dxa" w:w="100"/>
              <w:bottom w:type="dxa" w:w="60"/>
              <w:right w:type="dxa" w:w="100"/>
            </w:tcMar>
            <w:vAlign w:val="center"/>
          </w:tcPr>
          <w:p>
            <w:r>
              <w:rPr>
                <w:b w:val="false"/>
                <w:bCs w:val="false"/>
                <w:sz w:val="19"/>
                <w:szCs w:val="19"/>
              </w:rPr>
              <w:t xml:space="preserve">11.35.40.1</w:t>
            </w:r>
          </w:p>
        </w:tc>
        <w:tc>
          <w:tcPr>
            <w:tcW w:type="dxa" w:w="1100"/>
            <w:tcMar>
              <w:top w:type="dxa" w:w="60"/>
              <w:left w:type="dxa" w:w="100"/>
              <w:bottom w:type="dxa" w:w="60"/>
              <w:right w:type="dxa" w:w="100"/>
            </w:tcMar>
            <w:vAlign w:val="center"/>
          </w:tcPr>
          <w:p>
            <w:r>
              <w:rPr>
                <w:b w:val="false"/>
                <w:bCs w:val="false"/>
                <w:sz w:val="19"/>
                <w:szCs w:val="19"/>
              </w:rPr>
              <w:t xml:space="preserve">11.35.0.2</w:t>
            </w:r>
          </w:p>
        </w:tc>
        <w:tc>
          <w:tcPr>
            <w:tcW w:type="dxa" w:w="1400"/>
            <w:tcMar>
              <w:top w:type="dxa" w:w="60"/>
              <w:left w:type="dxa" w:w="100"/>
              <w:bottom w:type="dxa" w:w="60"/>
              <w:right w:type="dxa" w:w="100"/>
            </w:tcMar>
            <w:vAlign w:val="center"/>
          </w:tcPr>
          <w:p>
            <w:r>
              <w:rPr>
                <w:b w:val="false"/>
                <w:bCs w:val="false"/>
                <w:sz w:val="19"/>
                <w:szCs w:val="19"/>
              </w:rPr>
              <w:t xml:space="preserve">11.35.40.4</w:t>
            </w:r>
          </w:p>
        </w:tc>
        <w:tc>
          <w:tcPr>
            <w:tcW w:type="dxa" w:w="900"/>
            <w:tcMar>
              <w:top w:type="dxa" w:w="60"/>
              <w:left w:type="dxa" w:w="100"/>
              <w:bottom w:type="dxa" w:w="60"/>
              <w:right w:type="dxa" w:w="100"/>
            </w:tcMar>
            <w:vAlign w:val="center"/>
          </w:tcPr>
          <w:p>
            <w:r>
              <w:rPr>
                <w:b w:val="false"/>
                <w:bCs w:val="false"/>
                <w:sz w:val="19"/>
                <w:szCs w:val="19"/>
              </w:rPr>
              <w:t xml:space="preserve">/23</w:t>
            </w:r>
          </w:p>
        </w:tc>
        <w:tc>
          <w:tcPr>
            <w:tcW w:type="dxa" w:w="1360"/>
            <w:tcMar>
              <w:top w:type="dxa" w:w="60"/>
              <w:left w:type="dxa" w:w="100"/>
              <w:bottom w:type="dxa" w:w="60"/>
              <w:right w:type="dxa" w:w="100"/>
            </w:tcMar>
            <w:vAlign w:val="center"/>
          </w:tcPr>
          <w:p>
            <w:r>
              <w:rPr>
                <w:b w:val="false"/>
                <w:bCs w:val="false"/>
                <w:sz w:val="19"/>
                <w:szCs w:val="19"/>
              </w:rPr>
              <w:t xml:space="preserve">500</w:t>
            </w:r>
          </w:p>
        </w:tc>
      </w:tr>
      <w:tr>
        <w:tc>
          <w:tcPr>
            <w:tcW w:type="dxa" w:w="1560"/>
            <w:tcMar>
              <w:top w:type="dxa" w:w="60"/>
              <w:left w:type="dxa" w:w="100"/>
              <w:bottom w:type="dxa" w:w="60"/>
              <w:right w:type="dxa" w:w="100"/>
            </w:tcMar>
            <w:vAlign w:val="center"/>
          </w:tcPr>
          <w:p>
            <w:r>
              <w:rPr>
                <w:b w:val="false"/>
                <w:bCs w:val="false"/>
                <w:sz w:val="19"/>
                <w:szCs w:val="19"/>
              </w:rPr>
              <w:t xml:space="preserve">MEC-SRV</w:t>
            </w:r>
          </w:p>
        </w:tc>
        <w:tc>
          <w:tcPr>
            <w:tcW w:type="dxa" w:w="1300"/>
            <w:tcMar>
              <w:top w:type="dxa" w:w="60"/>
              <w:left w:type="dxa" w:w="100"/>
              <w:bottom w:type="dxa" w:w="60"/>
              <w:right w:type="dxa" w:w="100"/>
            </w:tcMar>
            <w:vAlign w:val="center"/>
          </w:tcPr>
          <w:p>
            <w:r>
              <w:rPr>
                <w:b w:val="false"/>
                <w:bCs w:val="false"/>
                <w:sz w:val="19"/>
                <w:szCs w:val="19"/>
              </w:rPr>
              <w:t xml:space="preserve">USR-POOL</w:t>
            </w:r>
          </w:p>
        </w:tc>
        <w:tc>
          <w:tcPr>
            <w:tcW w:type="dxa" w:w="1300"/>
            <w:tcMar>
              <w:top w:type="dxa" w:w="60"/>
              <w:left w:type="dxa" w:w="100"/>
              <w:bottom w:type="dxa" w:w="60"/>
              <w:right w:type="dxa" w:w="100"/>
            </w:tcMar>
            <w:vAlign w:val="center"/>
          </w:tcPr>
          <w:p>
            <w:r>
              <w:rPr>
                <w:b w:val="false"/>
                <w:bCs w:val="false"/>
                <w:sz w:val="19"/>
                <w:szCs w:val="19"/>
              </w:rPr>
              <w:t xml:space="preserve">11.35.32.1</w:t>
            </w:r>
          </w:p>
        </w:tc>
        <w:tc>
          <w:tcPr>
            <w:tcW w:type="dxa" w:w="1100"/>
            <w:tcMar>
              <w:top w:type="dxa" w:w="60"/>
              <w:left w:type="dxa" w:w="100"/>
              <w:bottom w:type="dxa" w:w="60"/>
              <w:right w:type="dxa" w:w="100"/>
            </w:tcMar>
            <w:vAlign w:val="center"/>
          </w:tcPr>
          <w:p>
            <w:r>
              <w:rPr>
                <w:b w:val="false"/>
                <w:bCs w:val="false"/>
                <w:sz w:val="19"/>
                <w:szCs w:val="19"/>
              </w:rPr>
              <w:t xml:space="preserve">11.35.0.2</w:t>
            </w:r>
          </w:p>
        </w:tc>
        <w:tc>
          <w:tcPr>
            <w:tcW w:type="dxa" w:w="1400"/>
            <w:tcMar>
              <w:top w:type="dxa" w:w="60"/>
              <w:left w:type="dxa" w:w="100"/>
              <w:bottom w:type="dxa" w:w="60"/>
              <w:right w:type="dxa" w:w="100"/>
            </w:tcMar>
            <w:vAlign w:val="center"/>
          </w:tcPr>
          <w:p>
            <w:r>
              <w:rPr>
                <w:b w:val="false"/>
                <w:bCs w:val="false"/>
                <w:sz w:val="19"/>
                <w:szCs w:val="19"/>
              </w:rPr>
              <w:t xml:space="preserve">11.35.32.4</w:t>
            </w:r>
          </w:p>
        </w:tc>
        <w:tc>
          <w:tcPr>
            <w:tcW w:type="dxa" w:w="900"/>
            <w:tcMar>
              <w:top w:type="dxa" w:w="60"/>
              <w:left w:type="dxa" w:w="100"/>
              <w:bottom w:type="dxa" w:w="60"/>
              <w:right w:type="dxa" w:w="100"/>
            </w:tcMar>
            <w:vAlign w:val="center"/>
          </w:tcPr>
          <w:p>
            <w:r>
              <w:rPr>
                <w:b w:val="false"/>
                <w:bCs w:val="false"/>
                <w:sz w:val="19"/>
                <w:szCs w:val="19"/>
              </w:rPr>
              <w:t xml:space="preserve">/21</w:t>
            </w:r>
          </w:p>
        </w:tc>
        <w:tc>
          <w:tcPr>
            <w:tcW w:type="dxa" w:w="1360"/>
            <w:tcMar>
              <w:top w:type="dxa" w:w="60"/>
              <w:left w:type="dxa" w:w="100"/>
              <w:bottom w:type="dxa" w:w="60"/>
              <w:right w:type="dxa" w:w="100"/>
            </w:tcMar>
            <w:vAlign w:val="center"/>
          </w:tcPr>
          <w:p>
            <w:r>
              <w:rPr>
                <w:b w:val="false"/>
                <w:bCs w:val="false"/>
                <w:sz w:val="19"/>
                <w:szCs w:val="19"/>
              </w:rPr>
              <w:t xml:space="preserve">1040</w:t>
            </w:r>
          </w:p>
        </w:tc>
      </w:tr>
      <w:tr>
        <w:tc>
          <w:tcPr>
            <w:tcW w:type="dxa" w:w="1560"/>
            <w:tcMar>
              <w:top w:type="dxa" w:w="60"/>
              <w:left w:type="dxa" w:w="100"/>
              <w:bottom w:type="dxa" w:w="60"/>
              <w:right w:type="dxa" w:w="100"/>
            </w:tcMar>
            <w:vAlign w:val="center"/>
          </w:tcPr>
          <w:p>
            <w:r>
              <w:rPr>
                <w:b w:val="false"/>
                <w:bCs w:val="false"/>
                <w:sz w:val="19"/>
                <w:szCs w:val="19"/>
              </w:rPr>
              <w:t xml:space="preserve">CRC-SRV</w:t>
            </w:r>
          </w:p>
        </w:tc>
        <w:tc>
          <w:tcPr>
            <w:tcW w:type="dxa" w:w="1300"/>
            <w:tcMar>
              <w:top w:type="dxa" w:w="60"/>
              <w:left w:type="dxa" w:w="100"/>
              <w:bottom w:type="dxa" w:w="60"/>
              <w:right w:type="dxa" w:w="100"/>
            </w:tcMar>
            <w:vAlign w:val="center"/>
          </w:tcPr>
          <w:p>
            <w:r>
              <w:rPr>
                <w:b w:val="false"/>
                <w:bCs w:val="false"/>
                <w:sz w:val="19"/>
                <w:szCs w:val="19"/>
              </w:rPr>
              <w:t xml:space="preserve">CRC-POOL</w:t>
            </w:r>
          </w:p>
        </w:tc>
        <w:tc>
          <w:tcPr>
            <w:tcW w:type="dxa" w:w="1300"/>
            <w:tcMar>
              <w:top w:type="dxa" w:w="60"/>
              <w:left w:type="dxa" w:w="100"/>
              <w:bottom w:type="dxa" w:w="60"/>
              <w:right w:type="dxa" w:w="100"/>
            </w:tcMar>
            <w:vAlign w:val="center"/>
          </w:tcPr>
          <w:p>
            <w:r>
              <w:rPr>
                <w:b w:val="false"/>
                <w:bCs w:val="false"/>
                <w:sz w:val="19"/>
                <w:szCs w:val="19"/>
              </w:rPr>
              <w:t xml:space="preserve">11.35.45.1</w:t>
            </w:r>
          </w:p>
        </w:tc>
        <w:tc>
          <w:tcPr>
            <w:tcW w:type="dxa" w:w="1100"/>
            <w:tcMar>
              <w:top w:type="dxa" w:w="60"/>
              <w:left w:type="dxa" w:w="100"/>
              <w:bottom w:type="dxa" w:w="60"/>
              <w:right w:type="dxa" w:w="100"/>
            </w:tcMar>
            <w:vAlign w:val="center"/>
          </w:tcPr>
          <w:p>
            <w:r>
              <w:rPr>
                <w:b w:val="false"/>
                <w:bCs w:val="false"/>
                <w:sz w:val="19"/>
                <w:szCs w:val="19"/>
              </w:rPr>
              <w:t xml:space="preserve">11.35.0.2</w:t>
            </w:r>
          </w:p>
        </w:tc>
        <w:tc>
          <w:tcPr>
            <w:tcW w:type="dxa" w:w="1400"/>
            <w:tcMar>
              <w:top w:type="dxa" w:w="60"/>
              <w:left w:type="dxa" w:w="100"/>
              <w:bottom w:type="dxa" w:w="60"/>
              <w:right w:type="dxa" w:w="100"/>
            </w:tcMar>
            <w:vAlign w:val="center"/>
          </w:tcPr>
          <w:p>
            <w:r>
              <w:rPr>
                <w:b w:val="false"/>
                <w:bCs w:val="false"/>
                <w:sz w:val="19"/>
                <w:szCs w:val="19"/>
              </w:rPr>
              <w:t xml:space="preserve">11.35.45.4</w:t>
            </w:r>
          </w:p>
        </w:tc>
        <w:tc>
          <w:tcPr>
            <w:tcW w:type="dxa" w:w="900"/>
            <w:tcMar>
              <w:top w:type="dxa" w:w="60"/>
              <w:left w:type="dxa" w:w="100"/>
              <w:bottom w:type="dxa" w:w="60"/>
              <w:right w:type="dxa" w:w="100"/>
            </w:tcMar>
            <w:vAlign w:val="center"/>
          </w:tcPr>
          <w:p>
            <w:r>
              <w:rPr>
                <w:b w:val="false"/>
                <w:bCs w:val="false"/>
                <w:sz w:val="19"/>
                <w:szCs w:val="19"/>
              </w:rPr>
              <w:t xml:space="preserve">/25</w:t>
            </w:r>
          </w:p>
        </w:tc>
        <w:tc>
          <w:tcPr>
            <w:tcW w:type="dxa" w:w="1360"/>
            <w:tcMar>
              <w:top w:type="dxa" w:w="60"/>
              <w:left w:type="dxa" w:w="100"/>
              <w:bottom w:type="dxa" w:w="60"/>
              <w:right w:type="dxa" w:w="100"/>
            </w:tcMar>
            <w:vAlign w:val="center"/>
          </w:tcPr>
          <w:p>
            <w:r>
              <w:rPr>
                <w:b w:val="false"/>
                <w:bCs w:val="false"/>
                <w:sz w:val="19"/>
                <w:szCs w:val="19"/>
              </w:rPr>
              <w:t xml:space="preserve">100</w:t>
            </w:r>
          </w:p>
        </w:tc>
      </w:tr>
      <w:tr>
        <w:tc>
          <w:tcPr>
            <w:tcW w:type="dxa" w:w="1560"/>
            <w:tcMar>
              <w:top w:type="dxa" w:w="60"/>
              <w:left w:type="dxa" w:w="100"/>
              <w:bottom w:type="dxa" w:w="60"/>
              <w:right w:type="dxa" w:w="100"/>
            </w:tcMar>
            <w:vAlign w:val="center"/>
          </w:tcPr>
          <w:p>
            <w:r>
              <w:rPr>
                <w:b w:val="false"/>
                <w:bCs w:val="false"/>
                <w:sz w:val="19"/>
                <w:szCs w:val="19"/>
              </w:rPr>
              <w:t xml:space="preserve">CRC-SRV</w:t>
            </w:r>
          </w:p>
        </w:tc>
        <w:tc>
          <w:tcPr>
            <w:tcW w:type="dxa" w:w="1300"/>
            <w:tcMar>
              <w:top w:type="dxa" w:w="60"/>
              <w:left w:type="dxa" w:w="100"/>
              <w:bottom w:type="dxa" w:w="60"/>
              <w:right w:type="dxa" w:w="100"/>
            </w:tcMar>
            <w:vAlign w:val="center"/>
          </w:tcPr>
          <w:p>
            <w:r>
              <w:rPr>
                <w:b w:val="false"/>
                <w:bCs w:val="false"/>
                <w:sz w:val="19"/>
                <w:szCs w:val="19"/>
              </w:rPr>
              <w:t xml:space="preserve">MOP-POOL</w:t>
            </w:r>
          </w:p>
        </w:tc>
        <w:tc>
          <w:tcPr>
            <w:tcW w:type="dxa" w:w="1300"/>
            <w:tcMar>
              <w:top w:type="dxa" w:w="60"/>
              <w:left w:type="dxa" w:w="100"/>
              <w:bottom w:type="dxa" w:w="60"/>
              <w:right w:type="dxa" w:w="100"/>
            </w:tcMar>
            <w:vAlign w:val="center"/>
          </w:tcPr>
          <w:p>
            <w:r>
              <w:rPr>
                <w:b w:val="false"/>
                <w:bCs w:val="false"/>
                <w:sz w:val="19"/>
                <w:szCs w:val="19"/>
              </w:rPr>
              <w:t xml:space="preserve">11.35.45.129</w:t>
            </w:r>
          </w:p>
        </w:tc>
        <w:tc>
          <w:tcPr>
            <w:tcW w:type="dxa" w:w="1100"/>
            <w:tcMar>
              <w:top w:type="dxa" w:w="60"/>
              <w:left w:type="dxa" w:w="100"/>
              <w:bottom w:type="dxa" w:w="60"/>
              <w:right w:type="dxa" w:w="100"/>
            </w:tcMar>
            <w:vAlign w:val="center"/>
          </w:tcPr>
          <w:p>
            <w:r>
              <w:rPr>
                <w:b w:val="false"/>
                <w:bCs w:val="false"/>
                <w:sz w:val="19"/>
                <w:szCs w:val="19"/>
              </w:rPr>
              <w:t xml:space="preserve">11.35.0.2</w:t>
            </w:r>
          </w:p>
        </w:tc>
        <w:tc>
          <w:tcPr>
            <w:tcW w:type="dxa" w:w="1400"/>
            <w:tcMar>
              <w:top w:type="dxa" w:w="60"/>
              <w:left w:type="dxa" w:w="100"/>
              <w:bottom w:type="dxa" w:w="60"/>
              <w:right w:type="dxa" w:w="100"/>
            </w:tcMar>
            <w:vAlign w:val="center"/>
          </w:tcPr>
          <w:p>
            <w:r>
              <w:rPr>
                <w:b w:val="false"/>
                <w:bCs w:val="false"/>
                <w:sz w:val="19"/>
                <w:szCs w:val="19"/>
              </w:rPr>
              <w:t xml:space="preserve">11.35.45.132</w:t>
            </w:r>
          </w:p>
        </w:tc>
        <w:tc>
          <w:tcPr>
            <w:tcW w:type="dxa" w:w="900"/>
            <w:tcMar>
              <w:top w:type="dxa" w:w="60"/>
              <w:left w:type="dxa" w:w="100"/>
              <w:bottom w:type="dxa" w:w="60"/>
              <w:right w:type="dxa" w:w="100"/>
            </w:tcMar>
            <w:vAlign w:val="center"/>
          </w:tcPr>
          <w:p>
            <w:r>
              <w:rPr>
                <w:b w:val="false"/>
                <w:bCs w:val="false"/>
                <w:sz w:val="19"/>
                <w:szCs w:val="19"/>
              </w:rPr>
              <w:t xml:space="preserve">/26</w:t>
            </w:r>
          </w:p>
        </w:tc>
        <w:tc>
          <w:tcPr>
            <w:tcW w:type="dxa" w:w="1360"/>
            <w:tcMar>
              <w:top w:type="dxa" w:w="60"/>
              <w:left w:type="dxa" w:w="100"/>
              <w:bottom w:type="dxa" w:w="60"/>
              <w:right w:type="dxa" w:w="100"/>
            </w:tcMar>
            <w:vAlign w:val="center"/>
          </w:tcPr>
          <w:p>
            <w:r>
              <w:rPr>
                <w:b w:val="false"/>
                <w:bCs w:val="false"/>
                <w:sz w:val="19"/>
                <w:szCs w:val="19"/>
              </w:rPr>
              <w:t xml:space="preserve">50</w:t>
            </w:r>
          </w:p>
        </w:tc>
      </w:tr>
    </w:tbl>
    <w:p>
      <w:pPr>
        <w:spacing w:after="300" w:before="80"/>
        <w:jc w:val="center"/>
      </w:pPr>
      <w:r>
        <w:rPr>
          <w:i/>
          <w:iCs/>
          <w:color w:val="555555"/>
          <w:sz w:val="18"/>
          <w:szCs w:val="18"/>
        </w:rPr>
        <w:t xml:space="preserve">Table 4 — All seven DHCP pools.</w:t>
      </w:r>
    </w:p>
    <w:p>
      <w:pPr>
        <w:spacing w:after="160"/>
      </w:pPr>
      <w:r>
        <w:t xml:space="preserve">SMS, FRH, USR, and MOP relay client broadcasts via ip helper-address (see Section 5) since they host no DHCP service of their own — SMS and FRH point at NEOC directly, USR at MEC-SRV, and MOP at CRC-SRV.</w:t>
      </w:r>
    </w:p>
    <w:p>
      <w:pPr>
        <w:pStyle w:val="Heading1"/>
        <w:spacing w:after="200" w:before="400"/>
      </w:pPr>
      <w:r>
        <w:t xml:space="preserve">7. Routing Design</w:t>
      </w:r>
    </w:p>
    <w:p>
      <w:pPr>
        <w:pStyle w:val="Heading2"/>
        <w:spacing w:after="150" w:before="300"/>
      </w:pPr>
      <w:r>
        <w:t xml:space="preserve">7.1 RIPv2 domain</w:t>
      </w:r>
    </w:p>
    <w:p>
      <w:pPr>
        <w:spacing w:after="160"/>
      </w:pPr>
      <w:r>
        <w:t xml:space="preserve">NEOC, SMS, and FRH run RIPv2 over the warning-loop links. LAN-facing and non-RIP-domain interfaces are configured passive-interface so RIP neither forms unintended neighbor relationships (e.g. NEOC and FRH also share the Central Switch) nor advertises onto end-host segments — the connected subnets are still carried in RIP updates through the active interfaces regardless.</w:t>
      </w:r>
    </w:p>
    <w:p>
      <w:pPr>
        <w:pStyle w:val="Heading2"/>
        <w:spacing w:after="150" w:before="300"/>
      </w:pPr>
      <w:r>
        <w:t xml:space="preserve">7.2 Redistribution</w:t>
      </w:r>
    </w:p>
    <w:p>
      <w:pPr>
        <w:spacing w:after="160"/>
      </w:pPr>
      <w:r>
        <w:t xml:space="preserve">NEOC holds static routes to MEC-LAN, USR-LAN, CRC-LAN, and MOP-LAN (none of which are reachable via RIP), and redistributes them into RIPv2 with a seed metric of 1. This is how SMS and FRH — which never speak to MEC or CRC directly — learn that the rest of the network exists.</w:t>
      </w:r>
    </w:p>
    <w:p>
      <w:pPr>
        <w:pStyle w:val="Heading2"/>
        <w:spacing w:after="150" w:before="300"/>
      </w:pPr>
      <w:r>
        <w:t xml:space="preserve">7.3 Floating and recursive static routes</w:t>
      </w:r>
    </w:p>
    <w:p>
      <w:pPr>
        <w:spacing w:after="160"/>
      </w:pPr>
      <w:r>
        <w:t xml:space="preserve">MEC’s primary route to the NEOC/SMS/FRH networks uses the direct fibre link (next-hop 11.35.45.213); a floating, recursive backup route via CRC (next-hop 11.35.45.196) is installed at the custom Administrative Distance of 144, calculated in Section 3.1. It only appears in the routing table if the primary path is withdrawn.</w:t>
      </w:r>
    </w:p>
    <w:p>
      <w:pPr>
        <w:spacing w:after="160"/>
      </w:pPr>
      <w:r>
        <w:t xml:space="preserve">CRC’s primary route to the same three networks uses NEOC directly across the Central Switch (11.35.45.193); its floating backup via FRH (11.35.45.194) also uses AD 144. Because both next-hops sit on the same shared switch segment, this backup demonstrates a real limitation of recursive floating statics: IOS considers the route resolved as long as some route covers the next-hop’s subnet, regardless of whether that specific host is alive, so the backup does not activate automatically the way MEC’s does. It was verified by temporarily withdrawing the primary route (see Section 8).</w:t>
      </w:r>
    </w:p>
    <w:p>
      <w:pPr>
        <w:pStyle w:val="Heading2"/>
        <w:spacing w:after="150" w:before="300"/>
      </w:pPr>
      <w:r>
        <w:t xml:space="preserve">7.4 Static-only stubs</w:t>
      </w:r>
    </w:p>
    <w:p>
      <w:pPr>
        <w:spacing w:after="160"/>
      </w:pPr>
      <w:r>
        <w:t xml:space="preserve">USR and MOP each have exactly one path out, so their routes to every other network use exit-interface syntax (Serial0/1/0) rather than a next-hop IP — a deliberate contrast with MEC and CRC’s recursive, next-hop-based routes. No default routes are used anywhere in the design.</w:t>
      </w:r>
    </w:p>
    <w:p>
      <w:pPr>
        <w:pStyle w:val="Heading1"/>
        <w:spacing w:after="200" w:before="400"/>
      </w:pPr>
      <w:r>
        <w:t xml:space="preserve">8. Server Configuration</w:t>
      </w:r>
    </w:p>
    <w:p>
      <w:pPr>
        <w:pStyle w:val="Heading2"/>
        <w:spacing w:after="150" w:before="300"/>
      </w:pPr>
      <w:r>
        <w:t xml:space="preserve">8.1 Email</w:t>
      </w:r>
    </w:p>
    <w:p>
      <w:pPr>
        <w:spacing w:after="160"/>
      </w:pPr>
      <w:r>
        <w:t xml:space="preserve">All seven servers run the Email service. Each unit has two mailboxes (unit-prefixed, e.g. neoc1/neoc2), matched to that unit’s two PCs.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060"/>
      </w:tblGrid>
      <w:tr>
        <w:trPr>
          <w:tblHeader/>
        </w:trPr>
        <w:tc>
          <w:tcPr>
            <w:tcW w:type="dxa" w:w="2400"/>
            <w:shd w:fill="DCE3F7" w:val="clear"/>
            <w:tcMar>
              <w:top w:type="dxa" w:w="60"/>
              <w:left w:type="dxa" w:w="100"/>
              <w:bottom w:type="dxa" w:w="60"/>
              <w:right w:type="dxa" w:w="100"/>
            </w:tcMar>
            <w:vAlign w:val="center"/>
          </w:tcPr>
          <w:p>
            <w:r>
              <w:rPr>
                <w:b/>
                <w:bCs/>
                <w:sz w:val="19"/>
                <w:szCs w:val="19"/>
              </w:rPr>
              <w:t xml:space="preserve">Server</w:t>
            </w:r>
          </w:p>
        </w:tc>
        <w:tc>
          <w:tcPr>
            <w:tcW w:type="dxa" w:w="2900"/>
            <w:shd w:fill="DCE3F7" w:val="clear"/>
            <w:tcMar>
              <w:top w:type="dxa" w:w="60"/>
              <w:left w:type="dxa" w:w="100"/>
              <w:bottom w:type="dxa" w:w="60"/>
              <w:right w:type="dxa" w:w="100"/>
            </w:tcMar>
            <w:vAlign w:val="center"/>
          </w:tcPr>
          <w:p>
            <w:r>
              <w:rPr>
                <w:b/>
                <w:bCs/>
                <w:sz w:val="19"/>
                <w:szCs w:val="19"/>
              </w:rPr>
              <w:t xml:space="preserve">Domain</w:t>
            </w:r>
          </w:p>
        </w:tc>
        <w:tc>
          <w:tcPr>
            <w:tcW w:type="dxa" w:w="4060"/>
            <w:shd w:fill="DCE3F7" w:val="clear"/>
            <w:tcMar>
              <w:top w:type="dxa" w:w="60"/>
              <w:left w:type="dxa" w:w="100"/>
              <w:bottom w:type="dxa" w:w="60"/>
              <w:right w:type="dxa" w:w="100"/>
            </w:tcMar>
            <w:vAlign w:val="center"/>
          </w:tcPr>
          <w:p>
            <w:r>
              <w:rPr>
                <w:b/>
                <w:bCs/>
                <w:sz w:val="19"/>
                <w:szCs w:val="19"/>
              </w:rPr>
              <w:t xml:space="preserve">Users</w:t>
            </w:r>
          </w:p>
        </w:tc>
      </w:tr>
      <w:tr>
        <w:tc>
          <w:tcPr>
            <w:tcW w:type="dxa" w:w="2400"/>
            <w:tcMar>
              <w:top w:type="dxa" w:w="60"/>
              <w:left w:type="dxa" w:w="100"/>
              <w:bottom w:type="dxa" w:w="60"/>
              <w:right w:type="dxa" w:w="100"/>
            </w:tcMar>
            <w:vAlign w:val="center"/>
          </w:tcPr>
          <w:p>
            <w:r>
              <w:rPr>
                <w:b w:val="false"/>
                <w:bCs w:val="false"/>
                <w:sz w:val="19"/>
                <w:szCs w:val="19"/>
              </w:rPr>
              <w:t xml:space="preserve">NEOC-SRV</w:t>
            </w:r>
          </w:p>
        </w:tc>
        <w:tc>
          <w:tcPr>
            <w:tcW w:type="dxa" w:w="2900"/>
            <w:tcMar>
              <w:top w:type="dxa" w:w="60"/>
              <w:left w:type="dxa" w:w="100"/>
              <w:bottom w:type="dxa" w:w="60"/>
              <w:right w:type="dxa" w:w="100"/>
            </w:tcMar>
            <w:vAlign w:val="center"/>
          </w:tcPr>
          <w:p>
            <w:r>
              <w:rPr>
                <w:b w:val="false"/>
                <w:bCs w:val="false"/>
                <w:sz w:val="19"/>
                <w:szCs w:val="19"/>
              </w:rPr>
              <w:t xml:space="preserve">mail.neoc.gov</w:t>
            </w:r>
          </w:p>
        </w:tc>
        <w:tc>
          <w:tcPr>
            <w:tcW w:type="dxa" w:w="4060"/>
            <w:tcMar>
              <w:top w:type="dxa" w:w="60"/>
              <w:left w:type="dxa" w:w="100"/>
              <w:bottom w:type="dxa" w:w="60"/>
              <w:right w:type="dxa" w:w="100"/>
            </w:tcMar>
            <w:vAlign w:val="center"/>
          </w:tcPr>
          <w:p>
            <w:r>
              <w:rPr>
                <w:b w:val="false"/>
                <w:bCs w:val="false"/>
                <w:sz w:val="19"/>
                <w:szCs w:val="19"/>
              </w:rPr>
              <w:t xml:space="preserve">neoc1, neoc2</w:t>
            </w:r>
          </w:p>
        </w:tc>
      </w:tr>
      <w:tr>
        <w:tc>
          <w:tcPr>
            <w:tcW w:type="dxa" w:w="2400"/>
            <w:tcMar>
              <w:top w:type="dxa" w:w="60"/>
              <w:left w:type="dxa" w:w="100"/>
              <w:bottom w:type="dxa" w:w="60"/>
              <w:right w:type="dxa" w:w="100"/>
            </w:tcMar>
            <w:vAlign w:val="center"/>
          </w:tcPr>
          <w:p>
            <w:r>
              <w:rPr>
                <w:b w:val="false"/>
                <w:bCs w:val="false"/>
                <w:sz w:val="19"/>
                <w:szCs w:val="19"/>
              </w:rPr>
              <w:t xml:space="preserve">SMS-SRV</w:t>
            </w:r>
          </w:p>
        </w:tc>
        <w:tc>
          <w:tcPr>
            <w:tcW w:type="dxa" w:w="2900"/>
            <w:tcMar>
              <w:top w:type="dxa" w:w="60"/>
              <w:left w:type="dxa" w:w="100"/>
              <w:bottom w:type="dxa" w:w="60"/>
              <w:right w:type="dxa" w:w="100"/>
            </w:tcMar>
            <w:vAlign w:val="center"/>
          </w:tcPr>
          <w:p>
            <w:r>
              <w:rPr>
                <w:b w:val="false"/>
                <w:bCs w:val="false"/>
                <w:sz w:val="19"/>
                <w:szCs w:val="19"/>
              </w:rPr>
              <w:t xml:space="preserve">mail.sms.gov</w:t>
            </w:r>
          </w:p>
        </w:tc>
        <w:tc>
          <w:tcPr>
            <w:tcW w:type="dxa" w:w="4060"/>
            <w:tcMar>
              <w:top w:type="dxa" w:w="60"/>
              <w:left w:type="dxa" w:w="100"/>
              <w:bottom w:type="dxa" w:w="60"/>
              <w:right w:type="dxa" w:w="100"/>
            </w:tcMar>
            <w:vAlign w:val="center"/>
          </w:tcPr>
          <w:p>
            <w:r>
              <w:rPr>
                <w:b w:val="false"/>
                <w:bCs w:val="false"/>
                <w:sz w:val="19"/>
                <w:szCs w:val="19"/>
              </w:rPr>
              <w:t xml:space="preserve">sms1, sms2</w:t>
            </w:r>
          </w:p>
        </w:tc>
      </w:tr>
      <w:tr>
        <w:tc>
          <w:tcPr>
            <w:tcW w:type="dxa" w:w="2400"/>
            <w:tcMar>
              <w:top w:type="dxa" w:w="60"/>
              <w:left w:type="dxa" w:w="100"/>
              <w:bottom w:type="dxa" w:w="60"/>
              <w:right w:type="dxa" w:w="100"/>
            </w:tcMar>
            <w:vAlign w:val="center"/>
          </w:tcPr>
          <w:p>
            <w:r>
              <w:rPr>
                <w:b w:val="false"/>
                <w:bCs w:val="false"/>
                <w:sz w:val="19"/>
                <w:szCs w:val="19"/>
              </w:rPr>
              <w:t xml:space="preserve">FRH-SRV</w:t>
            </w:r>
          </w:p>
        </w:tc>
        <w:tc>
          <w:tcPr>
            <w:tcW w:type="dxa" w:w="2900"/>
            <w:tcMar>
              <w:top w:type="dxa" w:w="60"/>
              <w:left w:type="dxa" w:w="100"/>
              <w:bottom w:type="dxa" w:w="60"/>
              <w:right w:type="dxa" w:w="100"/>
            </w:tcMar>
            <w:vAlign w:val="center"/>
          </w:tcPr>
          <w:p>
            <w:r>
              <w:rPr>
                <w:b w:val="false"/>
                <w:bCs w:val="false"/>
                <w:sz w:val="19"/>
                <w:szCs w:val="19"/>
              </w:rPr>
              <w:t xml:space="preserve">mail.frh.gov</w:t>
            </w:r>
          </w:p>
        </w:tc>
        <w:tc>
          <w:tcPr>
            <w:tcW w:type="dxa" w:w="4060"/>
            <w:tcMar>
              <w:top w:type="dxa" w:w="60"/>
              <w:left w:type="dxa" w:w="100"/>
              <w:bottom w:type="dxa" w:w="60"/>
              <w:right w:type="dxa" w:w="100"/>
            </w:tcMar>
            <w:vAlign w:val="center"/>
          </w:tcPr>
          <w:p>
            <w:r>
              <w:rPr>
                <w:b w:val="false"/>
                <w:bCs w:val="false"/>
                <w:sz w:val="19"/>
                <w:szCs w:val="19"/>
              </w:rPr>
              <w:t xml:space="preserve">frh1, frh2</w:t>
            </w:r>
          </w:p>
        </w:tc>
      </w:tr>
      <w:tr>
        <w:tc>
          <w:tcPr>
            <w:tcW w:type="dxa" w:w="2400"/>
            <w:tcMar>
              <w:top w:type="dxa" w:w="60"/>
              <w:left w:type="dxa" w:w="100"/>
              <w:bottom w:type="dxa" w:w="60"/>
              <w:right w:type="dxa" w:w="100"/>
            </w:tcMar>
            <w:vAlign w:val="center"/>
          </w:tcPr>
          <w:p>
            <w:r>
              <w:rPr>
                <w:b w:val="false"/>
                <w:bCs w:val="false"/>
                <w:sz w:val="19"/>
                <w:szCs w:val="19"/>
              </w:rPr>
              <w:t xml:space="preserve">MEC-SRV</w:t>
            </w:r>
          </w:p>
        </w:tc>
        <w:tc>
          <w:tcPr>
            <w:tcW w:type="dxa" w:w="2900"/>
            <w:tcMar>
              <w:top w:type="dxa" w:w="60"/>
              <w:left w:type="dxa" w:w="100"/>
              <w:bottom w:type="dxa" w:w="60"/>
              <w:right w:type="dxa" w:w="100"/>
            </w:tcMar>
            <w:vAlign w:val="center"/>
          </w:tcPr>
          <w:p>
            <w:r>
              <w:rPr>
                <w:b w:val="false"/>
                <w:bCs w:val="false"/>
                <w:sz w:val="19"/>
                <w:szCs w:val="19"/>
              </w:rPr>
              <w:t xml:space="preserve">mail.mec.gov</w:t>
            </w:r>
          </w:p>
        </w:tc>
        <w:tc>
          <w:tcPr>
            <w:tcW w:type="dxa" w:w="4060"/>
            <w:tcMar>
              <w:top w:type="dxa" w:w="60"/>
              <w:left w:type="dxa" w:w="100"/>
              <w:bottom w:type="dxa" w:w="60"/>
              <w:right w:type="dxa" w:w="100"/>
            </w:tcMar>
            <w:vAlign w:val="center"/>
          </w:tcPr>
          <w:p>
            <w:r>
              <w:rPr>
                <w:b w:val="false"/>
                <w:bCs w:val="false"/>
                <w:sz w:val="19"/>
                <w:szCs w:val="19"/>
              </w:rPr>
              <w:t xml:space="preserve">mec1, mec2</w:t>
            </w:r>
          </w:p>
        </w:tc>
      </w:tr>
      <w:tr>
        <w:tc>
          <w:tcPr>
            <w:tcW w:type="dxa" w:w="2400"/>
            <w:tcMar>
              <w:top w:type="dxa" w:w="60"/>
              <w:left w:type="dxa" w:w="100"/>
              <w:bottom w:type="dxa" w:w="60"/>
              <w:right w:type="dxa" w:w="100"/>
            </w:tcMar>
            <w:vAlign w:val="center"/>
          </w:tcPr>
          <w:p>
            <w:r>
              <w:rPr>
                <w:b w:val="false"/>
                <w:bCs w:val="false"/>
                <w:sz w:val="19"/>
                <w:szCs w:val="19"/>
              </w:rPr>
              <w:t xml:space="preserve">USR-SRV</w:t>
            </w:r>
          </w:p>
        </w:tc>
        <w:tc>
          <w:tcPr>
            <w:tcW w:type="dxa" w:w="2900"/>
            <w:tcMar>
              <w:top w:type="dxa" w:w="60"/>
              <w:left w:type="dxa" w:w="100"/>
              <w:bottom w:type="dxa" w:w="60"/>
              <w:right w:type="dxa" w:w="100"/>
            </w:tcMar>
            <w:vAlign w:val="center"/>
          </w:tcPr>
          <w:p>
            <w:r>
              <w:rPr>
                <w:b w:val="false"/>
                <w:bCs w:val="false"/>
                <w:sz w:val="19"/>
                <w:szCs w:val="19"/>
              </w:rPr>
              <w:t xml:space="preserve">mail.usr.gov</w:t>
            </w:r>
          </w:p>
        </w:tc>
        <w:tc>
          <w:tcPr>
            <w:tcW w:type="dxa" w:w="4060"/>
            <w:tcMar>
              <w:top w:type="dxa" w:w="60"/>
              <w:left w:type="dxa" w:w="100"/>
              <w:bottom w:type="dxa" w:w="60"/>
              <w:right w:type="dxa" w:w="100"/>
            </w:tcMar>
            <w:vAlign w:val="center"/>
          </w:tcPr>
          <w:p>
            <w:r>
              <w:rPr>
                <w:b w:val="false"/>
                <w:bCs w:val="false"/>
                <w:sz w:val="19"/>
                <w:szCs w:val="19"/>
              </w:rPr>
              <w:t xml:space="preserve">usr1, usr2</w:t>
            </w:r>
          </w:p>
        </w:tc>
      </w:tr>
      <w:tr>
        <w:tc>
          <w:tcPr>
            <w:tcW w:type="dxa" w:w="2400"/>
            <w:tcMar>
              <w:top w:type="dxa" w:w="60"/>
              <w:left w:type="dxa" w:w="100"/>
              <w:bottom w:type="dxa" w:w="60"/>
              <w:right w:type="dxa" w:w="100"/>
            </w:tcMar>
            <w:vAlign w:val="center"/>
          </w:tcPr>
          <w:p>
            <w:r>
              <w:rPr>
                <w:b w:val="false"/>
                <w:bCs w:val="false"/>
                <w:sz w:val="19"/>
                <w:szCs w:val="19"/>
              </w:rPr>
              <w:t xml:space="preserve">CRC-SRV</w:t>
            </w:r>
          </w:p>
        </w:tc>
        <w:tc>
          <w:tcPr>
            <w:tcW w:type="dxa" w:w="2900"/>
            <w:tcMar>
              <w:top w:type="dxa" w:w="60"/>
              <w:left w:type="dxa" w:w="100"/>
              <w:bottom w:type="dxa" w:w="60"/>
              <w:right w:type="dxa" w:w="100"/>
            </w:tcMar>
            <w:vAlign w:val="center"/>
          </w:tcPr>
          <w:p>
            <w:r>
              <w:rPr>
                <w:b w:val="false"/>
                <w:bCs w:val="false"/>
                <w:sz w:val="19"/>
                <w:szCs w:val="19"/>
              </w:rPr>
              <w:t xml:space="preserve">mail.crc.gov</w:t>
            </w:r>
          </w:p>
        </w:tc>
        <w:tc>
          <w:tcPr>
            <w:tcW w:type="dxa" w:w="4060"/>
            <w:tcMar>
              <w:top w:type="dxa" w:w="60"/>
              <w:left w:type="dxa" w:w="100"/>
              <w:bottom w:type="dxa" w:w="60"/>
              <w:right w:type="dxa" w:w="100"/>
            </w:tcMar>
            <w:vAlign w:val="center"/>
          </w:tcPr>
          <w:p>
            <w:r>
              <w:rPr>
                <w:b w:val="false"/>
                <w:bCs w:val="false"/>
                <w:sz w:val="19"/>
                <w:szCs w:val="19"/>
              </w:rPr>
              <w:t xml:space="preserve">crc1, crc2</w:t>
            </w:r>
          </w:p>
        </w:tc>
      </w:tr>
      <w:tr>
        <w:tc>
          <w:tcPr>
            <w:tcW w:type="dxa" w:w="2400"/>
            <w:tcMar>
              <w:top w:type="dxa" w:w="60"/>
              <w:left w:type="dxa" w:w="100"/>
              <w:bottom w:type="dxa" w:w="60"/>
              <w:right w:type="dxa" w:w="100"/>
            </w:tcMar>
            <w:vAlign w:val="center"/>
          </w:tcPr>
          <w:p>
            <w:r>
              <w:rPr>
                <w:b w:val="false"/>
                <w:bCs w:val="false"/>
                <w:sz w:val="19"/>
                <w:szCs w:val="19"/>
              </w:rPr>
              <w:t xml:space="preserve">MOP-SRV</w:t>
            </w:r>
          </w:p>
        </w:tc>
        <w:tc>
          <w:tcPr>
            <w:tcW w:type="dxa" w:w="2900"/>
            <w:tcMar>
              <w:top w:type="dxa" w:w="60"/>
              <w:left w:type="dxa" w:w="100"/>
              <w:bottom w:type="dxa" w:w="60"/>
              <w:right w:type="dxa" w:w="100"/>
            </w:tcMar>
            <w:vAlign w:val="center"/>
          </w:tcPr>
          <w:p>
            <w:r>
              <w:rPr>
                <w:b w:val="false"/>
                <w:bCs w:val="false"/>
                <w:sz w:val="19"/>
                <w:szCs w:val="19"/>
              </w:rPr>
              <w:t xml:space="preserve">mail.mop.gov</w:t>
            </w:r>
          </w:p>
        </w:tc>
        <w:tc>
          <w:tcPr>
            <w:tcW w:type="dxa" w:w="4060"/>
            <w:tcMar>
              <w:top w:type="dxa" w:w="60"/>
              <w:left w:type="dxa" w:w="100"/>
              <w:bottom w:type="dxa" w:w="60"/>
              <w:right w:type="dxa" w:w="100"/>
            </w:tcMar>
            <w:vAlign w:val="center"/>
          </w:tcPr>
          <w:p>
            <w:r>
              <w:rPr>
                <w:b w:val="false"/>
                <w:bCs w:val="false"/>
                <w:sz w:val="19"/>
                <w:szCs w:val="19"/>
              </w:rPr>
              <w:t xml:space="preserve">mop1, mop2</w:t>
            </w:r>
          </w:p>
        </w:tc>
      </w:tr>
    </w:tbl>
    <w:p>
      <w:pPr>
        <w:spacing w:after="300" w:before="80"/>
        <w:jc w:val="center"/>
      </w:pPr>
      <w:r>
        <w:rPr>
          <w:i/>
          <w:iCs/>
          <w:color w:val="555555"/>
          <w:sz w:val="18"/>
          <w:szCs w:val="18"/>
        </w:rPr>
        <w:t xml:space="preserve">Table 5 — Email domains and accounts.</w:t>
      </w:r>
    </w:p>
    <w:p>
      <w:pPr>
        <w:spacing w:after="160"/>
      </w:pPr>
      <w:r>
        <w:t xml:space="preserve">Cross-domain email between NEOC and MEC was verified with a round trip between neoc1 and mec2@mail.mec.gov (Section 9).</w:t>
      </w:r>
    </w:p>
    <w:p>
      <w:pPr>
        <w:pStyle w:val="Heading2"/>
        <w:spacing w:after="150" w:before="300"/>
      </w:pPr>
      <w:r>
        <w:t xml:space="preserve">8.2 Web</w:t>
      </w:r>
    </w:p>
    <w:p>
      <w:pPr>
        <w:spacing w:after="160"/>
      </w:pPr>
      <w:r>
        <w:t xml:space="preserve">NEOC-SRV and MEC-SRV run the HTTP service, serving www.neoc.alert.gov and www.mec.alert.gov respectively, each with a short custom status page.</w:t>
      </w:r>
    </w:p>
    <w:p>
      <w:pPr>
        <w:pStyle w:val="Heading2"/>
        <w:spacing w:after="150" w:before="300"/>
      </w:pPr>
      <w:r>
        <w:t xml:space="preserve">8.3 DNS</w:t>
      </w:r>
    </w:p>
    <w:p>
      <w:pPr>
        <w:spacing w:after="160"/>
      </w:pPr>
      <w:r>
        <w:t xml:space="preserve">NEOC-SRV runs the network’s only DNS service, authoritative for nine A-records: the seven mail.*.gov mailserver names and the two www.*.alert.gov web server names. Every device in the network — statically configured or DHCP-assigned — points to 11.35.0.2 as its DNS server.</w:t>
      </w:r>
    </w:p>
    <w:p>
      <w:pPr>
        <w:pStyle w:val="Heading1"/>
        <w:spacing w:after="200" w:before="400"/>
      </w:pPr>
      <w:r>
        <w:t xml:space="preserve">9. Testing &amp; Verification</w:t>
      </w:r>
    </w:p>
    <w:p>
      <w:pPr>
        <w:spacing w:after="160"/>
      </w:pPr>
      <w:r>
        <w:t xml:space="preserve">The following checks were carried out to verify the design end-to-end.</w:t>
      </w:r>
    </w:p>
    <w:p>
      <w:pPr>
        <w:pStyle w:val="Heading2"/>
        <w:spacing w:after="150" w:before="300"/>
      </w:pPr>
      <w:r>
        <w:t xml:space="preserve">9.1 Connectivity</w:t>
      </w:r>
    </w:p>
    <w:p>
      <w:pPr>
        <w:pStyle w:val="ListParagraph"/>
        <w:numPr>
          <w:ilvl w:val="0"/>
          <w:numId w:val="1"/>
        </w:numPr>
        <w:spacing w:after="80"/>
      </w:pPr>
      <w:r>
        <w:t xml:space="preserve">NEOC-PC1 → SMS-PC1 (warning loop / RIP)</w:t>
      </w:r>
    </w:p>
    <w:p>
      <w:pPr>
        <w:pStyle w:val="ListParagraph"/>
        <w:numPr>
          <w:ilvl w:val="0"/>
          <w:numId w:val="1"/>
        </w:numPr>
        <w:spacing w:after="80"/>
      </w:pPr>
      <w:r>
        <w:t xml:space="preserve">SMS-PC1 → FRH-PC1 (warning loop, other leg)</w:t>
      </w:r>
    </w:p>
    <w:p>
      <w:pPr>
        <w:pStyle w:val="ListParagraph"/>
        <w:numPr>
          <w:ilvl w:val="0"/>
          <w:numId w:val="1"/>
        </w:numPr>
        <w:spacing w:after="80"/>
      </w:pPr>
      <w:r>
        <w:t xml:space="preserve">NEOC-PC1 → CRC-PC1 (central switch)</w:t>
      </w:r>
    </w:p>
    <w:p>
      <w:pPr>
        <w:pStyle w:val="ListParagraph"/>
        <w:numPr>
          <w:ilvl w:val="0"/>
          <w:numId w:val="1"/>
        </w:numPr>
        <w:spacing w:after="80"/>
      </w:pPr>
      <w:r>
        <w:t xml:space="preserve">MEC-PC1 → USR-PC1 (stub link)</w:t>
      </w:r>
    </w:p>
    <w:p>
      <w:pPr>
        <w:pStyle w:val="ListParagraph"/>
        <w:numPr>
          <w:ilvl w:val="0"/>
          <w:numId w:val="1"/>
        </w:numPr>
        <w:spacing w:after="80"/>
      </w:pPr>
      <w:r>
        <w:t xml:space="preserve">CRC-PC1 → MOP-PC1 (stub link)</w:t>
      </w:r>
    </w:p>
    <w:p>
      <w:pPr>
        <w:pStyle w:val="ListParagraph"/>
        <w:numPr>
          <w:ilvl w:val="0"/>
          <w:numId w:val="1"/>
        </w:numPr>
        <w:spacing w:after="80"/>
      </w:pPr>
      <w:r>
        <w:t xml:space="preserve">SMS-PC1 → MOP-PC1 (full path: RIP → redistribution → static domain → stub)</w:t>
      </w:r>
    </w:p>
    <w:p>
      <w:pPr>
        <w:spacing w:before="160"/>
        <w:jc w:val="center"/>
      </w:pPr>
      <w:r>
        <w:drawing>
          <wp:inline distT="0" distB="0" distL="0" distR="0">
            <wp:extent cx="36195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1743075"/>
                    </a:xfrm>
                    <a:prstGeom prst="rect">
                      <a:avLst/>
                    </a:prstGeom>
                  </pic:spPr>
                </pic:pic>
              </a:graphicData>
            </a:graphic>
          </wp:inline>
        </w:drawing>
      </w:r>
    </w:p>
    <w:p>
      <w:pPr>
        <w:spacing w:after="300" w:before="80"/>
        <w:jc w:val="center"/>
      </w:pPr>
      <w:r>
        <w:rPr>
          <w:i/>
          <w:iCs/>
          <w:color w:val="555555"/>
          <w:sz w:val="18"/>
          <w:szCs w:val="18"/>
        </w:rPr>
        <w:t xml:space="preserve">Figure 3 — Successful ping test confirming end-to-end connectivity across the network.</w:t>
      </w:r>
    </w:p>
    <w:p>
      <w:pPr>
        <w:pStyle w:val="Heading2"/>
        <w:spacing w:after="150" w:before="300"/>
      </w:pPr>
      <w:r>
        <w:t xml:space="preserve">9.2 DHCP</w:t>
      </w:r>
    </w:p>
    <w:p>
      <w:pPr>
        <w:spacing w:after="160"/>
      </w:pPr>
      <w:r>
        <w:t xml:space="preserve">All 14 PCs confirmed to hold a leased address from the correct pool (Desktop → IP Configuration).</w:t>
      </w:r>
    </w:p>
    <w:p>
      <w:pPr>
        <w:pStyle w:val="Heading2"/>
        <w:spacing w:after="150" w:before="300"/>
      </w:pPr>
      <w:r>
        <w:t xml:space="preserve">9.3 Floating static route failover (MEC)</w:t>
      </w:r>
    </w:p>
    <w:p>
      <w:pPr>
        <w:spacing w:after="160"/>
      </w:pPr>
      <w:r>
        <w:t xml:space="preserve">With NEOC’s Serial0/2/0 administratively shut down, MEC’s route to 11.35.0.0/19 was confirmed to switch from AD 1 (via 11.35.45.213) to AD 144 (via 11.35.45.196), and MEC-PC1 → NEOC-PC1 connectivity was confirmed to continue across the backup path. The primary link was then restored and the route confirmed to revert automatically.</w:t>
      </w:r>
    </w:p>
    <w:p>
      <w:pPr>
        <w:spacing w:before="160"/>
        <w:jc w:val="center"/>
      </w:pPr>
      <w:r>
        <w:drawing>
          <wp:inline distT="0" distB="0" distL="0" distR="0">
            <wp:extent cx="3619500"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981075"/>
                    </a:xfrm>
                    <a:prstGeom prst="rect">
                      <a:avLst/>
                    </a:prstGeom>
                  </pic:spPr>
                </pic:pic>
              </a:graphicData>
            </a:graphic>
          </wp:inline>
        </w:drawing>
      </w:r>
    </w:p>
    <w:p>
      <w:pPr>
        <w:spacing w:after="300" w:before="80"/>
        <w:jc w:val="center"/>
      </w:pPr>
      <w:r>
        <w:rPr>
          <w:i/>
          <w:iCs/>
          <w:color w:val="555555"/>
          <w:sz w:val="18"/>
          <w:szCs w:val="18"/>
        </w:rPr>
        <w:t xml:space="preserve">Figure 4 — MEC’s routing table showing the floating backup route active at administrative distance 144 once the primary link was withdrawn.</w:t>
      </w:r>
    </w:p>
    <w:p>
      <w:pPr>
        <w:pStyle w:val="Heading2"/>
        <w:spacing w:after="150" w:before="300"/>
      </w:pPr>
      <w:r>
        <w:t xml:space="preserve">9.4 Floating static route (CRC) — backup verification</w:t>
      </w:r>
    </w:p>
    <w:p>
      <w:pPr>
        <w:spacing w:after="160"/>
      </w:pPr>
      <w:r>
        <w:t xml:space="preserve">Because CRC’s primary and backup next-hops share the Central Switch segment (Section 7.3), the backup route was verified by temporarily removing the primary ip route entries and confirming the AD-144 entries appeared alone in the routing table, then restoring the primary configuration.</w:t>
      </w:r>
    </w:p>
    <w:p>
      <w:pPr>
        <w:pStyle w:val="Heading2"/>
        <w:spacing w:after="150" w:before="300"/>
      </w:pPr>
      <w:r>
        <w:t xml:space="preserve">9.5 Warning-loop resilience</w:t>
      </w:r>
    </w:p>
    <w:p>
      <w:pPr>
        <w:spacing w:after="160"/>
      </w:pPr>
      <w:r>
        <w:t xml:space="preserve">With NEOC’s Serial0/1/0 (to SMS) shut down, RIP reconverged and NEOC ↔ SMS traffic was confirmed to reroute via FRH.</w:t>
      </w:r>
    </w:p>
    <w:p>
      <w:pPr>
        <w:pStyle w:val="Heading2"/>
        <w:spacing w:after="150" w:before="300"/>
      </w:pPr>
      <w:r>
        <w:t xml:space="preserve">9.6 Web and DNS verification</w:t>
      </w:r>
    </w:p>
    <w:p>
      <w:pPr>
        <w:spacing w:after="160"/>
      </w:pPr>
      <w:r>
        <w:t xml:space="preserve">Both www.neoc.alert.gov and www.mec.alert.gov were confirmed to load by name from a PC (FRH-PC1), verifying DNS resolution, HTTP, and routing together in a single test.</w:t>
      </w:r>
    </w:p>
    <w:p>
      <w:pPr>
        <w:spacing w:before="160"/>
        <w:jc w:val="center"/>
      </w:pPr>
      <w:r>
        <w:drawing>
          <wp:inline distT="0" distB="0" distL="0" distR="0">
            <wp:extent cx="3810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1781175"/>
                    </a:xfrm>
                    <a:prstGeom prst="rect">
                      <a:avLst/>
                    </a:prstGeom>
                  </pic:spPr>
                </pic:pic>
              </a:graphicData>
            </a:graphic>
          </wp:inline>
        </w:drawing>
      </w:r>
    </w:p>
    <w:p>
      <w:pPr>
        <w:spacing w:after="300" w:before="80"/>
        <w:jc w:val="center"/>
      </w:pPr>
      <w:r>
        <w:rPr>
          <w:i/>
          <w:iCs/>
          <w:color w:val="555555"/>
          <w:sz w:val="18"/>
          <w:szCs w:val="18"/>
        </w:rPr>
        <w:t xml:space="preserve">Figure 5 — www.neoc.alert.gov loading by name from FRH-PC1.</w:t>
      </w:r>
    </w:p>
    <w:p>
      <w:pPr>
        <w:spacing w:before="200"/>
        <w:jc w:val="center"/>
      </w:pPr>
      <w:r>
        <w:drawing>
          <wp:inline distT="0" distB="0" distL="0" distR="0">
            <wp:extent cx="38100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1390650"/>
                    </a:xfrm>
                    <a:prstGeom prst="rect">
                      <a:avLst/>
                    </a:prstGeom>
                  </pic:spPr>
                </pic:pic>
              </a:graphicData>
            </a:graphic>
          </wp:inline>
        </w:drawing>
      </w:r>
    </w:p>
    <w:p>
      <w:pPr>
        <w:spacing w:after="300" w:before="80"/>
        <w:jc w:val="center"/>
      </w:pPr>
      <w:r>
        <w:rPr>
          <w:i/>
          <w:iCs/>
          <w:color w:val="555555"/>
          <w:sz w:val="18"/>
          <w:szCs w:val="18"/>
        </w:rPr>
        <w:t xml:space="preserve">Figure 6 — www.mec.alert.gov loading by name from FRH-PC1.</w:t>
      </w:r>
    </w:p>
    <w:p>
      <w:pPr>
        <w:pStyle w:val="Heading2"/>
        <w:spacing w:after="150" w:before="300"/>
      </w:pPr>
      <w:r>
        <w:t xml:space="preserve">9.7 Email verification</w:t>
      </w:r>
    </w:p>
    <w:p>
      <w:pPr>
        <w:spacing w:after="160"/>
      </w:pPr>
      <w:r>
        <w:t xml:space="preserve">Intra-unit email delivery was confirmed for each site, along with the NEOC ↔ MEC cross-domain round trip: mail sent from neoc1@mail.neoc.gov was confirmed received in MEC-PC2’s inbox (mec2@mail.mec.gov), demonstrating that email routes correctly across site and domain boundaries.</w:t>
      </w:r>
    </w:p>
    <w:p>
      <w:pPr>
        <w:spacing w:before="160"/>
        <w:jc w:val="center"/>
      </w:pPr>
      <w:r>
        <w:drawing>
          <wp:inline distT="0" distB="0" distL="0" distR="0">
            <wp:extent cx="43815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1095375"/>
                    </a:xfrm>
                    <a:prstGeom prst="rect">
                      <a:avLst/>
                    </a:prstGeom>
                  </pic:spPr>
                </pic:pic>
              </a:graphicData>
            </a:graphic>
          </wp:inline>
        </w:drawing>
      </w:r>
    </w:p>
    <w:p>
      <w:pPr>
        <w:spacing w:after="300" w:before="80"/>
        <w:jc w:val="center"/>
      </w:pPr>
      <w:r>
        <w:rPr>
          <w:i/>
          <w:iCs/>
          <w:color w:val="555555"/>
          <w:sz w:val="18"/>
          <w:szCs w:val="18"/>
        </w:rPr>
        <w:t xml:space="preserve">Figure 7 — MEC-PC2’s inbox showing mail delivered from neoc1@mail.neoc.gov, confirming cross-domain email.</w:t>
      </w:r>
    </w:p>
    <w:p>
      <w:pPr>
        <w:pStyle w:val="Heading1"/>
        <w:spacing w:after="200" w:before="400"/>
      </w:pPr>
      <w:r>
        <w:t xml:space="preserve">10. Assumptions</w:t>
      </w:r>
    </w:p>
    <w:p>
      <w:pPr>
        <w:pStyle w:val="ListParagraph"/>
        <w:numPr>
          <w:ilvl w:val="0"/>
          <w:numId w:val="1"/>
        </w:numPr>
        <w:spacing w:after="80"/>
      </w:pPr>
      <w:r>
        <w:t xml:space="preserve">The last group member for the base-network calculation and the first member for the Administrative Distance calculation were taken in the order the group listed its own members (Member 1 → Member 4).</w:t>
      </w:r>
    </w:p>
    <w:p>
      <w:pPr>
        <w:pStyle w:val="ListParagraph"/>
        <w:numPr>
          <w:ilvl w:val="0"/>
          <w:numId w:val="1"/>
        </w:numPr>
        <w:spacing w:after="80"/>
      </w:pPr>
      <w:r>
        <w:t xml:space="preserve">The NEOC–MEC "direct fibre" link is implemented as a serial point-to-point link rather than a literal fibre medium, for consistency with the router hardware used everywhere else.</w:t>
      </w:r>
    </w:p>
    <w:p>
      <w:pPr>
        <w:pStyle w:val="ListParagraph"/>
        <w:numPr>
          <w:ilvl w:val="0"/>
          <w:numId w:val="1"/>
        </w:numPr>
        <w:spacing w:after="80"/>
      </w:pPr>
      <w:r>
        <w:t xml:space="preserve">MEC and CRC’s DHCP is server-based (Packet Tracer Server service) while NEOC’s is router-based (IOS), to demonstrate both methods within one project.</w:t>
      </w:r>
    </w:p>
    <w:p>
      <w:pPr>
        <w:pStyle w:val="ListParagraph"/>
        <w:numPr>
          <w:ilvl w:val="0"/>
          <w:numId w:val="1"/>
        </w:numPr>
        <w:spacing w:after="80"/>
      </w:pPr>
      <w:r>
        <w:t xml:space="preserve">CRC’s and MEC’s floating backup routes toward the RIP domain use the same next-hop granularity as their primary routes (i.e. all three RIP-domain LANs share one primary and one backup next-hop) rather than routing FRH-LAN directly via FRH, treating the RIP domain as one logical destination reachable through either NEOC or FRH.</w:t>
      </w:r>
    </w:p>
    <w:p>
      <w:pPr>
        <w:pStyle w:val="ListParagraph"/>
        <w:numPr>
          <w:ilvl w:val="0"/>
          <w:numId w:val="1"/>
        </w:numPr>
        <w:spacing w:after="80"/>
      </w:pPr>
      <w:r>
        <w:t xml:space="preserve">A shared password (Passw0rd123) is used for all email accounts for simplicity, since credential security is not part of this assignment’s scope.</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QuakeNet — CSE421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032024a4bcccc4fee79e91ca35695303252e0cd.png"/><Relationship Id="rId10" Type="http://schemas.openxmlformats.org/officeDocument/2006/relationships/image" Target="media/b71760720dc2dabbbc03f88d2916c5759b527260.png"/><Relationship Id="rId11" Type="http://schemas.openxmlformats.org/officeDocument/2006/relationships/image" Target="media/5441e633321200bb5c19aee16161df8396a50e08.png"/><Relationship Id="rId12" Type="http://schemas.openxmlformats.org/officeDocument/2006/relationships/image" Target="media/fafed5f0d746e4f9cd3268650773a5b4ccdab8dd.png"/><Relationship Id="rId13" Type="http://schemas.openxmlformats.org/officeDocument/2006/relationships/image" Target="media/3832a516465b147ae3c4b7ea96658be81783d0b9.png"/><Relationship Id="rId14" Type="http://schemas.openxmlformats.org/officeDocument/2006/relationships/image" Target="media/2afda6085c83da2e1bb87bd9f36d22b62d5d6bbd.png"/><Relationship Id="rId15" Type="http://schemas.openxmlformats.org/officeDocument/2006/relationships/image" Target="media/26aa85bda88cf2142c0fac2688ab82f93b39691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2026-08-26T04:48:20.117Z</dcterms:created>
  <dcterms:modified xsi:type="dcterms:W3CDTF">2026-08-26T04:48:20.117Z</dcterms:modified>
</cp:coreProperties>
</file>

<file path=docProps/custom.xml><?xml version="1.0" encoding="utf-8"?>
<Properties xmlns="http://schemas.openxmlformats.org/officeDocument/2006/custom-properties" xmlns:vt="http://schemas.openxmlformats.org/officeDocument/2006/docPropsVTypes"/>
</file>