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04A"/>
          <w:sz w:val="68"/>
        </w:rPr>
        <w:t>ÉVALMINIER</w:t>
      </w:r>
    </w:p>
    <w:p>
      <w:pPr>
        <w:jc w:val="center"/>
      </w:pPr>
      <w:r>
        <w:rPr>
          <w:b/>
          <w:sz w:val="40"/>
        </w:rPr>
        <w:t>Documentation complète du projet</w:t>
      </w:r>
    </w:p>
    <w:p>
      <w:pPr>
        <w:jc w:val="center"/>
      </w:pPr>
      <w:r>
        <w:rPr>
          <w:i/>
        </w:rPr>
        <w:t>Manuel utilisateur • Guide métier • Référence développeur • Maintenance</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04A"/>
          </w:tcPr>
          <w:p>
            <w:r/>
            <w:r>
              <w:rPr>
                <w:b/>
                <w:color w:val="FFFFFF"/>
                <w:sz w:val="17"/>
              </w:rPr>
              <w:t>Public cible</w:t>
            </w:r>
          </w:p>
        </w:tc>
        <w:tc>
          <w:tcPr>
            <w:tcW w:type="dxa" w:w="5040"/>
            <w:vAlign w:val="center"/>
            <w:shd w:fill="12304A"/>
          </w:tcPr>
          <w:p>
            <w:r/>
            <w:r>
              <w:rPr>
                <w:b/>
                <w:color w:val="FFFFFF"/>
                <w:sz w:val="17"/>
              </w:rPr>
              <w:t>Ce que ce document permet de faire</w:t>
            </w:r>
          </w:p>
        </w:tc>
      </w:tr>
      <w:tr>
        <w:tc>
          <w:tcPr>
            <w:tcW w:type="dxa" w:w="5040"/>
            <w:vAlign w:val="center"/>
          </w:tcPr>
          <w:p>
            <w:r/>
            <w:r>
              <w:rPr>
                <w:b w:val="0"/>
                <w:sz w:val="17"/>
              </w:rPr>
              <w:t>Utilisateur / évaluateur</w:t>
            </w:r>
          </w:p>
        </w:tc>
        <w:tc>
          <w:tcPr>
            <w:tcW w:type="dxa" w:w="5040"/>
            <w:vAlign w:val="center"/>
          </w:tcPr>
          <w:p>
            <w:r/>
            <w:r>
              <w:rPr>
                <w:b w:val="0"/>
                <w:sz w:val="17"/>
              </w:rPr>
              <w:t>Comprendre le parcours complet, importer un dossier, vérifier les données, lire les résultats, valider humainement et exporter les livrables.</w:t>
            </w:r>
          </w:p>
        </w:tc>
      </w:tr>
      <w:tr>
        <w:tc>
          <w:tcPr>
            <w:tcW w:type="dxa" w:w="5040"/>
            <w:vAlign w:val="center"/>
            <w:shd w:fill="F1F5F9"/>
          </w:tcPr>
          <w:p>
            <w:r/>
            <w:r>
              <w:rPr>
                <w:b w:val="0"/>
                <w:sz w:val="17"/>
              </w:rPr>
              <w:t>Développeur</w:t>
            </w:r>
          </w:p>
        </w:tc>
        <w:tc>
          <w:tcPr>
            <w:tcW w:type="dxa" w:w="5040"/>
            <w:vAlign w:val="center"/>
            <w:shd w:fill="F1F5F9"/>
          </w:tcPr>
          <w:p>
            <w:r/>
            <w:r>
              <w:rPr>
                <w:b w:val="0"/>
                <w:sz w:val="17"/>
              </w:rPr>
              <w:t>Comprendre l’architecture, le modèle de données, les modules, les calculs, l’API, les commandes et les points de vigilance.</w:t>
            </w:r>
          </w:p>
        </w:tc>
      </w:tr>
      <w:tr>
        <w:tc>
          <w:tcPr>
            <w:tcW w:type="dxa" w:w="5040"/>
            <w:vAlign w:val="center"/>
          </w:tcPr>
          <w:p>
            <w:r/>
            <w:r>
              <w:rPr>
                <w:b w:val="0"/>
                <w:sz w:val="17"/>
              </w:rPr>
              <w:t>Responsable de maintenance</w:t>
            </w:r>
          </w:p>
        </w:tc>
        <w:tc>
          <w:tcPr>
            <w:tcW w:type="dxa" w:w="5040"/>
            <w:vAlign w:val="center"/>
          </w:tcPr>
          <w:p>
            <w:r/>
            <w:r>
              <w:rPr>
                <w:b w:val="0"/>
                <w:sz w:val="17"/>
              </w:rPr>
              <w:t>Identifier les limites actuelles, les contrôles à effectuer et les endroits du code où faire évoluer les règles.</w:t>
            </w:r>
          </w:p>
        </w:tc>
      </w:tr>
    </w:tbl>
    <w:p/>
    <w:p>
      <w:r>
        <w:t>Périmètre : analyse de l’archive source fournie, notamment src/App.tsx, les composants, les utilitaires, les types TypeScript, server.ts, package.json et les données d’exemple.</w:t>
      </w:r>
    </w:p>
    <w:p>
      <w:r>
        <w:t>Important : cette documentation explique le comportement implémenté dans le code fourni. Elle ne constitue pas une certification juridique des règles minières. Toute règle métier, valeur financière ou décision administrative doit être confirmée par les responsables compétents.</w:t>
      </w:r>
    </w:p>
    <w:p>
      <w:r>
        <w:br w:type="page"/>
      </w:r>
    </w:p>
    <w:p>
      <w:pPr>
        <w:pStyle w:val="Heading1"/>
      </w:pPr>
      <w:r>
        <w:t>Sommaire</w:t>
      </w:r>
    </w:p>
    <w:p>
      <w:pPr>
        <w:pStyle w:val="ListBullet"/>
      </w:pPr>
      <w:r>
        <w:t>1. Vue d’ensemble et périmètre</w:t>
      </w:r>
    </w:p>
    <w:p>
      <w:pPr>
        <w:pStyle w:val="ListBullet"/>
      </w:pPr>
      <w:r>
        <w:t>2. Prérequis et installation</w:t>
      </w:r>
    </w:p>
    <w:p>
      <w:pPr>
        <w:pStyle w:val="ListBullet"/>
      </w:pPr>
      <w:r>
        <w:t>3. Guide utilisateur pas à pas</w:t>
      </w:r>
    </w:p>
    <w:p>
      <w:pPr>
        <w:pStyle w:val="ListBullet"/>
      </w:pPr>
      <w:r>
        <w:t>4. Comprendre les résultats et les exports</w:t>
      </w:r>
    </w:p>
    <w:p>
      <w:pPr>
        <w:pStyle w:val="ListBullet"/>
      </w:pPr>
      <w:r>
        <w:t>5. Architecture technique</w:t>
      </w:r>
    </w:p>
    <w:p>
      <w:pPr>
        <w:pStyle w:val="ListBullet"/>
      </w:pPr>
      <w:r>
        <w:t>6. Parcours des données et modèle TypeScript</w:t>
      </w:r>
    </w:p>
    <w:p>
      <w:pPr>
        <w:pStyle w:val="ListBullet"/>
      </w:pPr>
      <w:r>
        <w:t>7. Extraction PDF et assistance Gemini</w:t>
      </w:r>
    </w:p>
    <w:p>
      <w:pPr>
        <w:pStyle w:val="ListBullet"/>
      </w:pPr>
      <w:r>
        <w:t>8. Moteur d’évaluation et valeurs pivots</w:t>
      </w:r>
    </w:p>
    <w:p>
      <w:pPr>
        <w:pStyle w:val="ListBullet"/>
      </w:pPr>
      <w:r>
        <w:t>9. Validation humaine et génération du CCM</w:t>
      </w:r>
    </w:p>
    <w:p>
      <w:pPr>
        <w:pStyle w:val="ListBullet"/>
      </w:pPr>
      <w:r>
        <w:t>10. Référence des fichiers du projet</w:t>
      </w:r>
    </w:p>
    <w:p>
      <w:pPr>
        <w:pStyle w:val="ListBullet"/>
      </w:pPr>
      <w:r>
        <w:t>11. API, configuration et commandes</w:t>
      </w:r>
    </w:p>
    <w:p>
      <w:pPr>
        <w:pStyle w:val="ListBullet"/>
      </w:pPr>
      <w:r>
        <w:t>12. Tests, dépannage et sécurité</w:t>
      </w:r>
    </w:p>
    <w:p>
      <w:pPr>
        <w:pStyle w:val="ListBullet"/>
      </w:pPr>
      <w:r>
        <w:t>13. Limites connues et recommandations</w:t>
      </w:r>
    </w:p>
    <w:p>
      <w:pPr>
        <w:pStyle w:val="ListBullet"/>
      </w:pPr>
      <w:r>
        <w:t>14. Glossaire et checklist opérationnelle</w:t>
      </w:r>
    </w:p>
    <w:p>
      <w:r>
        <w:br w:type="page"/>
      </w:r>
    </w:p>
    <w:p>
      <w:pPr>
        <w:pStyle w:val="Heading1"/>
      </w:pPr>
      <w:r>
        <w:t>1. Vue d’ensemble et périmètre</w:t>
      </w:r>
    </w:p>
    <w:p>
      <w:r>
        <w:t>ÉvalMinier est une application web monopage (SPA) destinée à assister l’analyse technique et financière de dossiers PTPF liés à des permis miniers. Elle rassemble l’importation/extraction de données, l’édition des champs, le calcul d’indicateurs, une étape de vérification humaine et la production de documents.</w:t>
      </w:r>
    </w:p>
    <w:p>
      <w:pPr>
        <w:pStyle w:val="Heading2"/>
      </w:pPr>
      <w:r>
        <w:t>1.1 Fonctionnalités visibles</w:t>
      </w:r>
    </w:p>
    <w:p>
      <w:pPr>
        <w:pStyle w:val="ListBullet"/>
      </w:pPr>
      <w:r>
        <w:t>Charger un PDF et tenter d’en extraire le texte page par page.</w:t>
      </w:r>
    </w:p>
    <w:p>
      <w:pPr>
        <w:pStyle w:val="ListBullet"/>
      </w:pPr>
      <w:r>
        <w:t>Analyser le texte par une API Gemini si la clé et le serveur sont configurés ; sinon utiliser le parseur heuristique local.</w:t>
      </w:r>
    </w:p>
    <w:p>
      <w:pPr>
        <w:pStyle w:val="ListBullet"/>
      </w:pPr>
      <w:r>
        <w:t>Afficher et permettre la correction des données du dossier.</w:t>
      </w:r>
    </w:p>
    <w:p>
      <w:pPr>
        <w:pStyle w:val="ListBullet"/>
      </w:pPr>
      <w:r>
        <w:t>Calculer une évaluation à partir du modèle MiningPermitDocument.</w:t>
      </w:r>
    </w:p>
    <w:p>
      <w:pPr>
        <w:pStyle w:val="ListBullet"/>
      </w:pPr>
      <w:r>
        <w:t>Présenter une checklist de validation humaine avant l’accès au canevas CCM.</w:t>
      </w:r>
    </w:p>
    <w:p>
      <w:pPr>
        <w:pStyle w:val="ListBullet"/>
      </w:pPr>
      <w:r>
        <w:t>Afficher un canevas de Cahier des Charges Minières, avec quelques champs éditables.</w:t>
      </w:r>
    </w:p>
    <w:p>
      <w:pPr>
        <w:pStyle w:val="ListBullet"/>
      </w:pPr>
      <w:r>
        <w:t>Exporter le CCM en Word (.docx) ou PDF (.pdf), imprimer le canevas et exporter cinq tableaux financiers au format TSV pour Excel.</w:t>
      </w:r>
    </w:p>
    <w:p>
      <w:pPr>
        <w:pStyle w:val="ListBullet"/>
      </w:pPr>
      <w:r>
        <w:t>Recharger l’un des dossiers d’exemple intégrés.</w:t>
      </w:r>
    </w:p>
    <w:p>
      <w:pPr>
        <w:pStyle w:val="Heading2"/>
      </w:pPr>
      <w:r>
        <w:t>1.2 Ce que l’application n’établit pas à elle seule</w:t>
      </w:r>
    </w:p>
    <w:p>
      <w:pPr>
        <w:pStyle w:val="ListBullet"/>
      </w:pPr>
      <w:r>
        <w:t>Le score calculé ne remplace pas l’expertise ni une décision administrative officielle.</w:t>
      </w:r>
    </w:p>
    <w:p>
      <w:pPr>
        <w:pStyle w:val="ListBullet"/>
      </w:pPr>
      <w:r>
        <w:t>La validation affichée dans l’interface est un état applicatif ; le code observé ne met pas en place une signature cryptographique ni un registre d’audit serveur.</w:t>
      </w:r>
    </w:p>
    <w:p>
      <w:pPr>
        <w:pStyle w:val="ListBullet"/>
      </w:pPr>
      <w:r>
        <w:t>Le projet fourni ne présente pas de base de données persistante ni de système d’authentification/autorisation utilisateur.</w:t>
      </w:r>
    </w:p>
    <w:p>
      <w:pPr>
        <w:pStyle w:val="ListBullet"/>
      </w:pPr>
      <w:r>
        <w:t>Le parseur PDF extrait le texte disponible ; il ne réalise pas à lui seul une reconnaissance OCR complète des pages scannées.</w:t>
      </w:r>
    </w:p>
    <w:p>
      <w:pPr>
        <w:pStyle w:val="ListBullet"/>
      </w:pPr>
      <w:r>
        <w:t>Le format TSV est un fichier texte tabulé, pas un véritable classeur Excel .xlsx.</w:t>
      </w:r>
    </w:p>
    <w:p>
      <w:pPr>
        <w:pStyle w:val="Heading2"/>
      </w:pPr>
      <w:r>
        <w:t>1.3 Parcours général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2304A"/>
          </w:tcPr>
          <w:p>
            <w:r/>
            <w:r>
              <w:rPr>
                <w:b/>
                <w:color w:val="FFFFFF"/>
                <w:sz w:val="17"/>
              </w:rPr>
              <w:t>Étape</w:t>
            </w:r>
          </w:p>
        </w:tc>
        <w:tc>
          <w:tcPr>
            <w:tcW w:type="dxa" w:w="2520"/>
            <w:vAlign w:val="center"/>
            <w:shd w:fill="12304A"/>
          </w:tcPr>
          <w:p>
            <w:r/>
            <w:r>
              <w:rPr>
                <w:b/>
                <w:color w:val="FFFFFF"/>
                <w:sz w:val="17"/>
              </w:rPr>
              <w:t>Entrée</w:t>
            </w:r>
          </w:p>
        </w:tc>
        <w:tc>
          <w:tcPr>
            <w:tcW w:type="dxa" w:w="2520"/>
            <w:vAlign w:val="center"/>
            <w:shd w:fill="12304A"/>
          </w:tcPr>
          <w:p>
            <w:r/>
            <w:r>
              <w:rPr>
                <w:b/>
                <w:color w:val="FFFFFF"/>
                <w:sz w:val="17"/>
              </w:rPr>
              <w:t>Traitement</w:t>
            </w:r>
          </w:p>
        </w:tc>
        <w:tc>
          <w:tcPr>
            <w:tcW w:type="dxa" w:w="2520"/>
            <w:vAlign w:val="center"/>
            <w:shd w:fill="12304A"/>
          </w:tcPr>
          <w:p>
            <w:r/>
            <w:r>
              <w:rPr>
                <w:b/>
                <w:color w:val="FFFFFF"/>
                <w:sz w:val="17"/>
              </w:rPr>
              <w:t>Résultat</w:t>
            </w:r>
          </w:p>
        </w:tc>
      </w:tr>
      <w:tr>
        <w:tc>
          <w:tcPr>
            <w:tcW w:type="dxa" w:w="2520"/>
            <w:vAlign w:val="center"/>
          </w:tcPr>
          <w:p>
            <w:r/>
            <w:r>
              <w:rPr>
                <w:b w:val="0"/>
                <w:sz w:val="17"/>
              </w:rPr>
              <w:t>1 — Importer</w:t>
            </w:r>
          </w:p>
        </w:tc>
        <w:tc>
          <w:tcPr>
            <w:tcW w:type="dxa" w:w="2520"/>
            <w:vAlign w:val="center"/>
          </w:tcPr>
          <w:p>
            <w:r/>
            <w:r>
              <w:rPr>
                <w:b w:val="0"/>
                <w:sz w:val="17"/>
              </w:rPr>
              <w:t>PDF ou texte selon les contrôles de l’interface</w:t>
            </w:r>
          </w:p>
        </w:tc>
        <w:tc>
          <w:tcPr>
            <w:tcW w:type="dxa" w:w="2520"/>
            <w:vAlign w:val="center"/>
          </w:tcPr>
          <w:p>
            <w:r/>
            <w:r>
              <w:rPr>
                <w:b w:val="0"/>
                <w:sz w:val="17"/>
              </w:rPr>
              <w:t>Extraction textuelle, puis tentative IA et/ou heuristique</w:t>
            </w:r>
          </w:p>
        </w:tc>
        <w:tc>
          <w:tcPr>
            <w:tcW w:type="dxa" w:w="2520"/>
            <w:vAlign w:val="center"/>
          </w:tcPr>
          <w:p>
            <w:r/>
            <w:r>
              <w:rPr>
                <w:b w:val="0"/>
                <w:sz w:val="17"/>
              </w:rPr>
              <w:t>Dossier structuré à contrôler</w:t>
            </w:r>
          </w:p>
        </w:tc>
      </w:tr>
      <w:tr>
        <w:tc>
          <w:tcPr>
            <w:tcW w:type="dxa" w:w="2520"/>
            <w:vAlign w:val="center"/>
            <w:shd w:fill="F1F5F9"/>
          </w:tcPr>
          <w:p>
            <w:r/>
            <w:r>
              <w:rPr>
                <w:b w:val="0"/>
                <w:sz w:val="17"/>
              </w:rPr>
              <w:t>2 — Examiner</w:t>
            </w:r>
          </w:p>
        </w:tc>
        <w:tc>
          <w:tcPr>
            <w:tcW w:type="dxa" w:w="2520"/>
            <w:vAlign w:val="center"/>
            <w:shd w:fill="F1F5F9"/>
          </w:tcPr>
          <w:p>
            <w:r/>
            <w:r>
              <w:rPr>
                <w:b w:val="0"/>
                <w:sz w:val="17"/>
              </w:rPr>
              <w:t>Champs du dossier</w:t>
            </w:r>
          </w:p>
        </w:tc>
        <w:tc>
          <w:tcPr>
            <w:tcW w:type="dxa" w:w="2520"/>
            <w:vAlign w:val="center"/>
            <w:shd w:fill="F1F5F9"/>
          </w:tcPr>
          <w:p>
            <w:r/>
            <w:r>
              <w:rPr>
                <w:b w:val="0"/>
                <w:sz w:val="17"/>
              </w:rPr>
              <w:t>Corrections et recalcul de l’évaluation</w:t>
            </w:r>
          </w:p>
        </w:tc>
        <w:tc>
          <w:tcPr>
            <w:tcW w:type="dxa" w:w="2520"/>
            <w:vAlign w:val="center"/>
            <w:shd w:fill="F1F5F9"/>
          </w:tcPr>
          <w:p>
            <w:r/>
            <w:r>
              <w:rPr>
                <w:b w:val="0"/>
                <w:sz w:val="17"/>
              </w:rPr>
              <w:t>Rapport et constats recalculés</w:t>
            </w:r>
          </w:p>
        </w:tc>
      </w:tr>
      <w:tr>
        <w:tc>
          <w:tcPr>
            <w:tcW w:type="dxa" w:w="2520"/>
            <w:vAlign w:val="center"/>
          </w:tcPr>
          <w:p>
            <w:r/>
            <w:r>
              <w:rPr>
                <w:b w:val="0"/>
                <w:sz w:val="17"/>
              </w:rPr>
              <w:t>3 — Valider</w:t>
            </w:r>
          </w:p>
        </w:tc>
        <w:tc>
          <w:tcPr>
            <w:tcW w:type="dxa" w:w="2520"/>
            <w:vAlign w:val="center"/>
          </w:tcPr>
          <w:p>
            <w:r/>
            <w:r>
              <w:rPr>
                <w:b w:val="0"/>
                <w:sz w:val="17"/>
              </w:rPr>
              <w:t>Rapport + checklist</w:t>
            </w:r>
          </w:p>
        </w:tc>
        <w:tc>
          <w:tcPr>
            <w:tcW w:type="dxa" w:w="2520"/>
            <w:vAlign w:val="center"/>
          </w:tcPr>
          <w:p>
            <w:r/>
            <w:r>
              <w:rPr>
                <w:b w:val="0"/>
                <w:sz w:val="17"/>
              </w:rPr>
              <w:t>Confirmation humaine dans l’interface</w:t>
            </w:r>
          </w:p>
        </w:tc>
        <w:tc>
          <w:tcPr>
            <w:tcW w:type="dxa" w:w="2520"/>
            <w:vAlign w:val="center"/>
          </w:tcPr>
          <w:p>
            <w:r/>
            <w:r>
              <w:rPr>
                <w:b w:val="0"/>
                <w:sz w:val="17"/>
              </w:rPr>
              <w:t>État validé et accès au CCM</w:t>
            </w:r>
          </w:p>
        </w:tc>
      </w:tr>
      <w:tr>
        <w:tc>
          <w:tcPr>
            <w:tcW w:type="dxa" w:w="2520"/>
            <w:vAlign w:val="center"/>
            <w:shd w:fill="F1F5F9"/>
          </w:tcPr>
          <w:p>
            <w:r/>
            <w:r>
              <w:rPr>
                <w:b w:val="0"/>
                <w:sz w:val="17"/>
              </w:rPr>
              <w:t>4 — Produire</w:t>
            </w:r>
          </w:p>
        </w:tc>
        <w:tc>
          <w:tcPr>
            <w:tcW w:type="dxa" w:w="2520"/>
            <w:vAlign w:val="center"/>
            <w:shd w:fill="F1F5F9"/>
          </w:tcPr>
          <w:p>
            <w:r/>
            <w:r>
              <w:rPr>
                <w:b w:val="0"/>
                <w:sz w:val="17"/>
              </w:rPr>
              <w:t>Dossier et rapport</w:t>
            </w:r>
          </w:p>
        </w:tc>
        <w:tc>
          <w:tcPr>
            <w:tcW w:type="dxa" w:w="2520"/>
            <w:vAlign w:val="center"/>
            <w:shd w:fill="F1F5F9"/>
          </w:tcPr>
          <w:p>
            <w:r/>
            <w:r>
              <w:rPr>
                <w:b w:val="0"/>
                <w:sz w:val="17"/>
              </w:rPr>
              <w:t>Génération locale du document</w:t>
            </w:r>
          </w:p>
        </w:tc>
        <w:tc>
          <w:tcPr>
            <w:tcW w:type="dxa" w:w="2520"/>
            <w:vAlign w:val="center"/>
            <w:shd w:fill="F1F5F9"/>
          </w:tcPr>
          <w:p>
            <w:r/>
            <w:r>
              <w:rPr>
                <w:b w:val="0"/>
                <w:sz w:val="17"/>
              </w:rPr>
              <w:t>Word/PDF imprimable</w:t>
            </w:r>
          </w:p>
        </w:tc>
      </w:tr>
      <w:tr>
        <w:tc>
          <w:tcPr>
            <w:tcW w:type="dxa" w:w="2520"/>
            <w:vAlign w:val="center"/>
          </w:tcPr>
          <w:p>
            <w:r/>
            <w:r>
              <w:rPr>
                <w:b w:val="0"/>
                <w:sz w:val="17"/>
              </w:rPr>
              <w:t>5 — Exploiter les tableaux</w:t>
            </w:r>
          </w:p>
        </w:tc>
        <w:tc>
          <w:tcPr>
            <w:tcW w:type="dxa" w:w="2520"/>
            <w:vAlign w:val="center"/>
          </w:tcPr>
          <w:p>
            <w:r/>
            <w:r>
              <w:rPr>
                <w:b w:val="0"/>
                <w:sz w:val="17"/>
              </w:rPr>
              <w:t>Données recalculées</w:t>
            </w:r>
          </w:p>
        </w:tc>
        <w:tc>
          <w:tcPr>
            <w:tcW w:type="dxa" w:w="2520"/>
            <w:vAlign w:val="center"/>
          </w:tcPr>
          <w:p>
            <w:r/>
            <w:r>
              <w:rPr>
                <w:b w:val="0"/>
                <w:sz w:val="17"/>
              </w:rPr>
              <w:t>Assemblage TSV tabulé</w:t>
            </w:r>
          </w:p>
        </w:tc>
        <w:tc>
          <w:tcPr>
            <w:tcW w:type="dxa" w:w="2520"/>
            <w:vAlign w:val="center"/>
          </w:tcPr>
          <w:p>
            <w:r/>
            <w:r>
              <w:rPr>
                <w:b w:val="0"/>
                <w:sz w:val="17"/>
              </w:rPr>
              <w:t>Copie ou téléchargement pour Excel</w:t>
            </w:r>
          </w:p>
        </w:tc>
      </w:tr>
    </w:tbl>
    <w:p/>
    <w:p>
      <w:pPr>
        <w:pStyle w:val="Heading1"/>
      </w:pPr>
      <w:r>
        <w:t>2. Prérequis et installation</w:t>
      </w:r>
    </w:p>
    <w:p>
      <w:pPr>
        <w:pStyle w:val="Heading2"/>
      </w:pPr>
      <w:r>
        <w:t>2.1 Environnement attendu</w:t>
      </w:r>
    </w:p>
    <w:p>
      <w:pPr>
        <w:pStyle w:val="ListBullet"/>
      </w:pPr>
      <w:r>
        <w:t>Node.js compatible avec les versions du projet (Vite 8 demande une version récente de Node).</w:t>
      </w:r>
    </w:p>
    <w:p>
      <w:pPr>
        <w:pStyle w:val="ListBullet"/>
      </w:pPr>
      <w:r>
        <w:t>npm ou Bun ; le dépôt contient package.json et bun.lock.</w:t>
      </w:r>
    </w:p>
    <w:p>
      <w:pPr>
        <w:pStyle w:val="ListBullet"/>
      </w:pPr>
      <w:r>
        <w:t>Un navigateur moderne.</w:t>
      </w:r>
    </w:p>
    <w:p>
      <w:pPr>
        <w:pStyle w:val="ListBullet"/>
      </w:pPr>
      <w:r>
        <w:t>Une clé API Gemini uniquement si l’extraction IA doit être activée.</w:t>
      </w:r>
    </w:p>
    <w:p>
      <w:pPr>
        <w:pStyle w:val="Heading2"/>
      </w:pPr>
      <w:r>
        <w:t>2.2 Installer et lancer</w:t>
      </w:r>
    </w:p>
    <w:p>
      <w:pPr>
        <w:pStyle w:val="ListNumber"/>
      </w:pPr>
      <w:r>
        <w:t>Décompresser l’archive dans un répertoire de travail.</w:t>
      </w:r>
    </w:p>
    <w:p>
      <w:pPr>
        <w:pStyle w:val="ListNumber"/>
      </w:pPr>
      <w:r>
        <w:t>Ouvrir un terminal à la racine, là où se trouve package.json.</w:t>
      </w:r>
    </w:p>
    <w:p>
      <w:pPr>
        <w:pStyle w:val="ListNumber"/>
      </w:pPr>
      <w:r>
        <w:t>Installer les dépendances avec npm install (ou utiliser Bun si l’équipe a standardisé cet outil).</w:t>
      </w:r>
    </w:p>
    <w:p>
      <w:pPr>
        <w:pStyle w:val="ListNumber"/>
      </w:pPr>
      <w:r>
        <w:t>Créer un fichier .env à la racine à partir de .env.example, puis renseigner GEMINI_API_KEY si nécessaire. Ne jamais placer la clé dans le code React ou dans une variable VITE_* exposée au navigateur.</w:t>
      </w:r>
    </w:p>
    <w:p>
      <w:pPr>
        <w:pStyle w:val="ListNumber"/>
      </w:pPr>
      <w:r>
        <w:t>Lancer npm run dev. Le script exécute tsx server.ts ; le serveur Express monte le middleware Vite en mode développement.</w:t>
      </w:r>
    </w:p>
    <w:p>
      <w:pPr>
        <w:pStyle w:val="ListNumber"/>
      </w:pPr>
      <w:r>
        <w:t>Ouvrir l’adresse locale indiquée dans le terminal, généralement http://localhost:3000.</w:t>
      </w:r>
    </w:p>
    <w:p>
      <w:pPr>
        <w:pStyle w:val="Heading2"/>
      </w:pPr>
      <w:r>
        <w:t>2.3 Commandes disponibles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04A"/>
          </w:tcPr>
          <w:p>
            <w:r/>
            <w:r>
              <w:rPr>
                <w:b/>
                <w:color w:val="FFFFFF"/>
                <w:sz w:val="17"/>
              </w:rPr>
              <w:t>Commande</w:t>
            </w:r>
          </w:p>
        </w:tc>
        <w:tc>
          <w:tcPr>
            <w:tcW w:type="dxa" w:w="5040"/>
            <w:vAlign w:val="center"/>
            <w:shd w:fill="12304A"/>
          </w:tcPr>
          <w:p>
            <w:r/>
            <w:r>
              <w:rPr>
                <w:b/>
                <w:color w:val="FFFFFF"/>
                <w:sz w:val="17"/>
              </w:rPr>
              <w:t>Rôle / remarque</w:t>
            </w:r>
          </w:p>
        </w:tc>
      </w:tr>
      <w:tr>
        <w:tc>
          <w:tcPr>
            <w:tcW w:type="dxa" w:w="5040"/>
            <w:vAlign w:val="center"/>
          </w:tcPr>
          <w:p>
            <w:r/>
            <w:r>
              <w:rPr>
                <w:b w:val="0"/>
                <w:sz w:val="17"/>
              </w:rPr>
              <w:t>npm run dev</w:t>
            </w:r>
          </w:p>
        </w:tc>
        <w:tc>
          <w:tcPr>
            <w:tcW w:type="dxa" w:w="5040"/>
            <w:vAlign w:val="center"/>
          </w:tcPr>
          <w:p>
            <w:r/>
            <w:r>
              <w:rPr>
                <w:b w:val="0"/>
                <w:sz w:val="17"/>
              </w:rPr>
              <w:t>Démarre server.ts avec tsx et le middleware Vite.</w:t>
            </w:r>
          </w:p>
        </w:tc>
      </w:tr>
      <w:tr>
        <w:tc>
          <w:tcPr>
            <w:tcW w:type="dxa" w:w="5040"/>
            <w:vAlign w:val="center"/>
            <w:shd w:fill="F1F5F9"/>
          </w:tcPr>
          <w:p>
            <w:r/>
            <w:r>
              <w:rPr>
                <w:b w:val="0"/>
                <w:sz w:val="17"/>
              </w:rPr>
              <w:t>npm run build</w:t>
            </w:r>
          </w:p>
        </w:tc>
        <w:tc>
          <w:tcPr>
            <w:tcW w:type="dxa" w:w="5040"/>
            <w:vAlign w:val="center"/>
            <w:shd w:fill="F1F5F9"/>
          </w:tcPr>
          <w:p>
            <w:r/>
            <w:r>
              <w:rPr>
                <w:b w:val="0"/>
                <w:sz w:val="17"/>
              </w:rPr>
              <w:t>Compile les ressources frontend avec Vite dans dist/.</w:t>
            </w:r>
          </w:p>
        </w:tc>
      </w:tr>
      <w:tr>
        <w:tc>
          <w:tcPr>
            <w:tcW w:type="dxa" w:w="5040"/>
            <w:vAlign w:val="center"/>
          </w:tcPr>
          <w:p>
            <w:r/>
            <w:r>
              <w:rPr>
                <w:b w:val="0"/>
                <w:sz w:val="17"/>
              </w:rPr>
              <w:t>npm start</w:t>
            </w:r>
          </w:p>
        </w:tc>
        <w:tc>
          <w:tcPr>
            <w:tcW w:type="dxa" w:w="5040"/>
            <w:vAlign w:val="center"/>
          </w:tcPr>
          <w:p>
            <w:r/>
            <w:r>
              <w:rPr>
                <w:b w:val="0"/>
                <w:sz w:val="17"/>
              </w:rPr>
              <w:t>Exécute server.ts ; en production, le serveur sert dist/.</w:t>
            </w:r>
          </w:p>
        </w:tc>
      </w:tr>
      <w:tr>
        <w:tc>
          <w:tcPr>
            <w:tcW w:type="dxa" w:w="5040"/>
            <w:vAlign w:val="center"/>
            <w:shd w:fill="F1F5F9"/>
          </w:tcPr>
          <w:p>
            <w:r/>
            <w:r>
              <w:rPr>
                <w:b w:val="0"/>
                <w:sz w:val="17"/>
              </w:rPr>
              <w:t>npm run lint</w:t>
            </w:r>
          </w:p>
        </w:tc>
        <w:tc>
          <w:tcPr>
            <w:tcW w:type="dxa" w:w="5040"/>
            <w:vAlign w:val="center"/>
            <w:shd w:fill="F1F5F9"/>
          </w:tcPr>
          <w:p>
            <w:r/>
            <w:r>
              <w:rPr>
                <w:b w:val="0"/>
                <w:sz w:val="17"/>
              </w:rPr>
              <w:t>Lance tsc --noEmit pour vérifier le typage TypeScript.</w:t>
            </w:r>
          </w:p>
        </w:tc>
      </w:tr>
      <w:tr>
        <w:tc>
          <w:tcPr>
            <w:tcW w:type="dxa" w:w="5040"/>
            <w:vAlign w:val="center"/>
          </w:tcPr>
          <w:p>
            <w:r/>
            <w:r>
              <w:rPr>
                <w:b w:val="0"/>
                <w:sz w:val="17"/>
              </w:rPr>
              <w:t>npm run preview</w:t>
            </w:r>
          </w:p>
        </w:tc>
        <w:tc>
          <w:tcPr>
            <w:tcW w:type="dxa" w:w="5040"/>
            <w:vAlign w:val="center"/>
          </w:tcPr>
          <w:p>
            <w:r/>
            <w:r>
              <w:rPr>
                <w:b w:val="0"/>
                <w:sz w:val="17"/>
              </w:rPr>
              <w:t>Lance l’aperçu Vite ; ce n’est pas le même chemin que le serveur Express de production.</w:t>
            </w:r>
          </w:p>
        </w:tc>
      </w:tr>
    </w:tbl>
    <w:p/>
    <w:p>
      <w:r>
        <w:t>Le script clean utilise une commande de type Unix (rm -rf). Sur Windows, il peut nécessiter un terminal compatible ou une adaptation du script.</w:t>
      </w:r>
    </w:p>
    <w:p>
      <w:pPr>
        <w:pStyle w:val="Heading2"/>
      </w:pPr>
      <w:r>
        <w:t>2.4 Configuration Gemini</w:t>
      </w:r>
    </w:p>
    <w:p>
      <w:pPr>
        <w:ind w:left="288"/>
      </w:pPr>
      <w:r>
        <w:rPr>
          <w:rFonts w:ascii="Consolas" w:hAnsi="Consolas"/>
          <w:color w:val="334155"/>
          <w:sz w:val="16"/>
        </w:rPr>
        <w:t>GEMINI_API_KEY="votre_cle_api"</w:t>
      </w:r>
    </w:p>
    <w:p>
      <w:r>
        <w:t>Le serveur lit cette variable avec dotenv. Sans clé, /api/extract-ptpf renvoie un indicateur fallback et le client continue avec le parseur heuristique. Vérifier les quotas, coûts, conditions d’utilisation et politiques de confidentialité du fournisseur avant d’envoyer des dossiers réels.</w:t>
      </w:r>
    </w:p>
    <w:p>
      <w:r>
        <w:br w:type="page"/>
      </w:r>
    </w:p>
    <w:p>
      <w:pPr>
        <w:pStyle w:val="Heading1"/>
      </w:pPr>
      <w:r>
        <w:t>3. Guide utilisateur pas à pas</w:t>
      </w:r>
    </w:p>
    <w:p>
      <w:pPr>
        <w:pStyle w:val="Heading2"/>
      </w:pPr>
      <w:r>
        <w:t>3.1 Ouvrir l’application</w:t>
      </w:r>
    </w:p>
    <w:p>
      <w:r>
        <w:t>Au démarrage, App.tsx initialise l’état avec SAMPLE_37255_DOSSIER. Le site peut donc afficher immédiatement un exemple, même avant l’importation d’un dossier réel. Il faut vérifier le numéro de permis et le nom du fichier avant toute analyse.</w:t>
      </w:r>
    </w:p>
    <w:p>
      <w:pPr>
        <w:pStyle w:val="Heading2"/>
      </w:pPr>
      <w:r>
        <w:t>3.2 Choisir un dossier d’essai</w:t>
      </w:r>
    </w:p>
    <w:p>
      <w:r>
        <w:t>Les données d’exemple sont définies dans src/data/sampleDossier.ts. Le code importe SAMPLE_37255_DOSSIER et SAMPLE_41280_BETSIBOA. Utilisez-les pour découvrir l’interface ; ne traitez pas leurs valeurs comme celles d’un dossier réel.</w:t>
      </w:r>
    </w:p>
    <w:p>
      <w:pPr>
        <w:pStyle w:val="Heading2"/>
      </w:pPr>
      <w:r>
        <w:t>3.3 Importer un PDF</w:t>
      </w:r>
    </w:p>
    <w:p>
      <w:pPr>
        <w:pStyle w:val="ListNumber"/>
      </w:pPr>
      <w:r>
        <w:t>Dans la section Documents, sélectionnez ou déposez le PDF si le composant propose cette interaction.</w:t>
      </w:r>
    </w:p>
    <w:p>
      <w:pPr>
        <w:pStyle w:val="ListNumber"/>
      </w:pPr>
      <w:r>
        <w:t>Attendez la lecture du document. Le parseur récupère le nombre de pages et parcourt le texte de chaque page.</w:t>
      </w:r>
    </w:p>
    <w:p>
      <w:pPr>
        <w:pStyle w:val="ListNumber"/>
      </w:pPr>
      <w:r>
        <w:t>Le texte extrait est envoyé à POST /api/extract-ptpf pour une tentative d’extraction IA.</w:t>
      </w:r>
    </w:p>
    <w:p>
      <w:pPr>
        <w:pStyle w:val="ListNumber"/>
      </w:pPr>
      <w:r>
        <w:t>Si l’API ne répond pas, si elle ne renvoie pas de résultat exploitable ou si la clé manque, l’application bascule sur le parseur heuristique.</w:t>
      </w:r>
    </w:p>
    <w:p>
      <w:pPr>
        <w:pStyle w:val="ListNumber"/>
      </w:pPr>
      <w:r>
        <w:t>Vérifiez les champs extraits un par un : numéro/type de permis, titulaire, NIF, adresse, localisation, carrés/surface, substances, travaux, matériels, investissements, CMRM, financement, RSE/PRSE, personnel et déclaration.</w:t>
      </w:r>
    </w:p>
    <w:p>
      <w:r>
        <w:t>Attention : le parseur heuristique construit le dossier à partir d’un dossier d’exemple puis remplace les champs qu’il reconnaît. Les champs non détectés peuvent donc conserver des valeurs de l’exemple. Il est indispensable de corriger/contrôler tous les champs avant de se fier au rapport.</w:t>
      </w:r>
    </w:p>
    <w:p>
      <w:pPr>
        <w:pStyle w:val="Heading2"/>
      </w:pPr>
      <w:r>
        <w:t>3.4 Comprendre l’extraction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04A"/>
          </w:tcPr>
          <w:p>
            <w:r/>
            <w:r>
              <w:rPr>
                <w:b/>
                <w:color w:val="FFFFFF"/>
                <w:sz w:val="17"/>
              </w:rPr>
              <w:t>Indication</w:t>
            </w:r>
          </w:p>
        </w:tc>
        <w:tc>
          <w:tcPr>
            <w:tcW w:type="dxa" w:w="5040"/>
            <w:vAlign w:val="center"/>
            <w:shd w:fill="12304A"/>
          </w:tcPr>
          <w:p>
            <w:r/>
            <w:r>
              <w:rPr>
                <w:b/>
                <w:color w:val="FFFFFF"/>
                <w:sz w:val="17"/>
              </w:rPr>
              <w:t>Interprétation pratique</w:t>
            </w:r>
          </w:p>
        </w:tc>
      </w:tr>
      <w:tr>
        <w:tc>
          <w:tcPr>
            <w:tcW w:type="dxa" w:w="5040"/>
            <w:vAlign w:val="center"/>
          </w:tcPr>
          <w:p>
            <w:r/>
            <w:r>
              <w:rPr>
                <w:b w:val="0"/>
                <w:sz w:val="17"/>
              </w:rPr>
              <w:t>Extraction assistée par IA</w:t>
            </w:r>
          </w:p>
        </w:tc>
        <w:tc>
          <w:tcPr>
            <w:tcW w:type="dxa" w:w="5040"/>
            <w:vAlign w:val="center"/>
          </w:tcPr>
          <w:p>
            <w:r/>
            <w:r>
              <w:rPr>
                <w:b w:val="0"/>
                <w:sz w:val="17"/>
              </w:rPr>
              <w:t>L’API Gemini a renvoyé un objet JSON accepté par le client. Cela ne garantit pas l’exactitude des valeurs.</w:t>
            </w:r>
          </w:p>
        </w:tc>
      </w:tr>
      <w:tr>
        <w:tc>
          <w:tcPr>
            <w:tcW w:type="dxa" w:w="5040"/>
            <w:vAlign w:val="center"/>
            <w:shd w:fill="F1F5F9"/>
          </w:tcPr>
          <w:p>
            <w:r/>
            <w:r>
              <w:rPr>
                <w:b w:val="0"/>
                <w:sz w:val="17"/>
              </w:rPr>
              <w:t>Parseur heuristique</w:t>
            </w:r>
          </w:p>
        </w:tc>
        <w:tc>
          <w:tcPr>
            <w:tcW w:type="dxa" w:w="5040"/>
            <w:vAlign w:val="center"/>
            <w:shd w:fill="F1F5F9"/>
          </w:tcPr>
          <w:p>
            <w:r/>
            <w:r>
              <w:rPr>
                <w:b w:val="0"/>
                <w:sz w:val="17"/>
              </w:rPr>
              <w:t>Des motifs textuels/réguliers ont identifié certains champs. Les données non reconnues restent à vérifier.</w:t>
            </w:r>
          </w:p>
        </w:tc>
      </w:tr>
      <w:tr>
        <w:tc>
          <w:tcPr>
            <w:tcW w:type="dxa" w:w="5040"/>
            <w:vAlign w:val="center"/>
          </w:tcPr>
          <w:p>
            <w:r/>
            <w:r>
              <w:rPr>
                <w:b w:val="0"/>
                <w:sz w:val="17"/>
              </w:rPr>
              <w:t>Score de confiance affiché</w:t>
            </w:r>
          </w:p>
        </w:tc>
        <w:tc>
          <w:tcPr>
            <w:tcW w:type="dxa" w:w="5040"/>
            <w:vAlign w:val="center"/>
          </w:tcPr>
          <w:p>
            <w:r/>
            <w:r>
              <w:rPr>
                <w:b w:val="0"/>
                <w:sz w:val="17"/>
              </w:rPr>
              <w:t>Le code attribue des valeurs fixes (95 pour la voie IA, 80 pour l’heuristique) ; ce n’est pas une mesure statistique calculée sur chaque champ.</w:t>
            </w:r>
          </w:p>
        </w:tc>
      </w:tr>
    </w:tbl>
    <w:p/>
    <w:p>
      <w:pPr>
        <w:pStyle w:val="Heading2"/>
      </w:pPr>
      <w:r>
        <w:t>3.5 Corriger les données</w:t>
      </w:r>
    </w:p>
    <w:p>
      <w:r>
        <w:t>Utilisez la zone d’édition des paramètres extraits lorsqu’elle est disponible. Corrigez les données à partir du document source, pas à partir d’une valeur suggérée par l’application. La fonction d’évaluation est recalculée à partir de l’objet doc lorsque celui-ci change.</w:t>
      </w:r>
    </w:p>
    <w:p>
      <w:pPr>
        <w:pStyle w:val="ListBullet"/>
      </w:pPr>
      <w:r>
        <w:t>Vérifier les unités et les montants en MGA.</w:t>
      </w:r>
    </w:p>
    <w:p>
      <w:pPr>
        <w:pStyle w:val="ListBullet"/>
      </w:pPr>
      <w:r>
        <w:t>Vérifier que chaque matériel possède la bonne quantité, le bon prix unitaire et le bon mode d’acquisition.</w:t>
      </w:r>
    </w:p>
    <w:p>
      <w:pPr>
        <w:pStyle w:val="ListBullet"/>
      </w:pPr>
      <w:r>
        <w:t>Vérifier que le total de ligne correspond à prix unitaire × quantité.</w:t>
      </w:r>
    </w:p>
    <w:p>
      <w:pPr>
        <w:pStyle w:val="ListBullet"/>
      </w:pPr>
      <w:r>
        <w:t>Vérifier les phases d’investissement, les catégories CMRM et les garanties.</w:t>
      </w:r>
    </w:p>
    <w:p>
      <w:pPr>
        <w:pStyle w:val="ListBullet"/>
      </w:pPr>
      <w:r>
        <w:t>Vérifier les substances du titre minier par rapport aux substances du projet.</w:t>
      </w:r>
    </w:p>
    <w:p>
      <w:pPr>
        <w:pStyle w:val="ListBullet"/>
      </w:pPr>
      <w:r>
        <w:t>Vérifier la déclaration, sa date, le signataire et les données du responsable technique.</w:t>
      </w:r>
    </w:p>
    <w:p>
      <w:pPr>
        <w:pStyle w:val="Heading2"/>
      </w:pPr>
      <w:r>
        <w:t>3.6 Lire l’évaluation</w:t>
      </w:r>
    </w:p>
    <w:p>
      <w:r>
        <w:t>Ouvrez l’onglet d’évaluation. Le moteur renvoie des étapes avec un score obtenu, un maximum, un statut, un résumé, des opérations arithmétiques, des constats et des actions requises. Examinez les détails, et pas seulement le score global.</w:t>
      </w:r>
    </w:p>
    <w:p>
      <w:pPr>
        <w:pStyle w:val="Heading2"/>
      </w:pPr>
      <w:r>
        <w:t>3.7 Effectuer la validation humaine</w:t>
      </w:r>
    </w:p>
    <w:p>
      <w:pPr>
        <w:pStyle w:val="ListNumber"/>
      </w:pPr>
      <w:r>
        <w:t>Accédez à l’étape de vérification humaine.</w:t>
      </w:r>
    </w:p>
    <w:p>
      <w:pPr>
        <w:pStyle w:val="ListNumber"/>
      </w:pPr>
      <w:r>
        <w:t>Lisez chaque point de la checklist et cochez uniquement les points effectivement vérifiés.</w:t>
      </w:r>
    </w:p>
    <w:p>
      <w:pPr>
        <w:pStyle w:val="ListNumber"/>
      </w:pPr>
      <w:r>
        <w:t>Renseignez ou confirmez le nom de l’évaluateur et les observations/prescriptions.</w:t>
      </w:r>
    </w:p>
    <w:p>
      <w:pPr>
        <w:pStyle w:val="ListNumber"/>
      </w:pPr>
      <w:r>
        <w:t>Cliquez sur le bouton de validation lorsque tous les points obligatoires sont cochés.</w:t>
      </w:r>
    </w:p>
    <w:p>
      <w:pPr>
        <w:pStyle w:val="ListNumber"/>
      </w:pPr>
      <w:r>
        <w:t>Le code marque le rapport comme validé dans l’état React et bascule vers le canevas CCM.</w:t>
      </w:r>
    </w:p>
    <w:p>
      <w:r>
        <w:t>Le nom de rôle saisi dans le panneau n’est pas transmis au callback de validation dans la version inspectée. Les notes sont stockées dans l’état de validation, mais ne sont pas ajoutées au rapport par ce callback. La date affichée est une date localisée, pas un horodatage certifié.</w:t>
      </w:r>
    </w:p>
    <w:p>
      <w:pPr>
        <w:pStyle w:val="Heading2"/>
      </w:pPr>
      <w:r>
        <w:t>3.8 Modifier et exporter le CCM</w:t>
      </w:r>
    </w:p>
    <w:p>
      <w:pPr>
        <w:pStyle w:val="ListNumber"/>
      </w:pPr>
      <w:r>
        <w:t>Consultez le canevas prérempli à partir du dossier et du rapport.</w:t>
      </w:r>
    </w:p>
    <w:p>
      <w:pPr>
        <w:pStyle w:val="ListNumber"/>
      </w:pPr>
      <w:r>
        <w:t>Si nécessaire, activez Modifier et corrigez les champs éditables proposés (titulaire, gérant, siège, titre du projet).</w:t>
      </w:r>
    </w:p>
    <w:p>
      <w:pPr>
        <w:pStyle w:val="ListNumber"/>
      </w:pPr>
      <w:r>
        <w:t>Cliquez sur Enregistrer pour transmettre les modifications au parent lorsque le callback est disponible.</w:t>
      </w:r>
    </w:p>
    <w:p>
      <w:pPr>
        <w:pStyle w:val="ListNumber"/>
      </w:pPr>
      <w:r>
        <w:t>Utilisez Télécharger Word pour un document modifiable ; Télécharger PDF pour un rendu PDF ; Imprimer pour utiliser la boîte d’impression du navigateur.</w:t>
      </w:r>
    </w:p>
    <w:p>
      <w:pPr>
        <w:pStyle w:val="ListNumber"/>
      </w:pPr>
      <w:r>
        <w:t>Après export, ouvrez le fichier et contrôlez les pages, tableaux, montants, accents, signatures et coupures avant toute utilisation.</w:t>
      </w:r>
    </w:p>
    <w:p>
      <w:r>
        <w:t>Les modifications faites dans le canevas concernent seulement les champs explicitement éditables. Le code de téléchargement global de la barre de navigation génère le document à partir de l’état doc principal ; il peut ne pas reprendre les modifications temporaires tant qu’elles n’ont pas été enregistrées.</w:t>
      </w:r>
    </w:p>
    <w:p>
      <w:pPr>
        <w:pStyle w:val="Heading2"/>
      </w:pPr>
      <w:r>
        <w:t>3.9 Exporter les tableaux pour Excel</w:t>
      </w:r>
    </w:p>
    <w:p>
      <w:r>
        <w:t>L’onglet des tableaux ajustés présente cinq ensembles : investissement par phase, liste des matériels V.2, CMRM, financement et provision environnementale. Chaque tableau peut être copié puis collé dans Excel. Le téléchargement assemble ces tableaux en un fichier .tsv (valeurs séparées par tabulations), pas en fichier .xlsx.</w:t>
      </w:r>
    </w:p>
    <w:p>
      <w:r>
        <w:br w:type="page"/>
      </w:r>
    </w:p>
    <w:p>
      <w:pPr>
        <w:pStyle w:val="Heading1"/>
      </w:pPr>
      <w:r>
        <w:t>4. Comprendre les résultats et les règles de calcul</w:t>
      </w:r>
    </w:p>
    <w:p>
      <w:pPr>
        <w:pStyle w:val="Heading2"/>
      </w:pPr>
      <w:r>
        <w:t>4.1 Les quatre valeurs pivots exposées par le moteur</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04A"/>
          </w:tcPr>
          <w:p>
            <w:r/>
            <w:r>
              <w:rPr>
                <w:b/>
                <w:color w:val="FFFFFF"/>
                <w:sz w:val="17"/>
              </w:rPr>
              <w:t>Valeur</w:t>
            </w:r>
          </w:p>
        </w:tc>
        <w:tc>
          <w:tcPr>
            <w:tcW w:type="dxa" w:w="3360"/>
            <w:vAlign w:val="center"/>
            <w:shd w:fill="12304A"/>
          </w:tcPr>
          <w:p>
            <w:r/>
            <w:r>
              <w:rPr>
                <w:b/>
                <w:color w:val="FFFFFF"/>
                <w:sz w:val="17"/>
              </w:rPr>
              <w:t>Logique implémentée</w:t>
            </w:r>
          </w:p>
        </w:tc>
        <w:tc>
          <w:tcPr>
            <w:tcW w:type="dxa" w:w="3360"/>
            <w:vAlign w:val="center"/>
            <w:shd w:fill="12304A"/>
          </w:tcPr>
          <w:p>
            <w:r/>
            <w:r>
              <w:rPr>
                <w:b/>
                <w:color w:val="FFFFFF"/>
                <w:sz w:val="17"/>
              </w:rPr>
              <w:t>À vérifier</w:t>
            </w:r>
          </w:p>
        </w:tc>
      </w:tr>
      <w:tr>
        <w:tc>
          <w:tcPr>
            <w:tcW w:type="dxa" w:w="3360"/>
            <w:vAlign w:val="center"/>
          </w:tcPr>
          <w:p>
            <w:r/>
            <w:r>
              <w:rPr>
                <w:b w:val="0"/>
                <w:sz w:val="17"/>
              </w:rPr>
              <w:t>Coût Matériel 1</w:t>
            </w:r>
          </w:p>
        </w:tc>
        <w:tc>
          <w:tcPr>
            <w:tcW w:type="dxa" w:w="3360"/>
            <w:vAlign w:val="center"/>
          </w:tcPr>
          <w:p>
            <w:r/>
            <w:r>
              <w:rPr>
                <w:b w:val="0"/>
                <w:sz w:val="17"/>
              </w:rPr>
              <w:t>Somme recalculée des matériels V.2 − sous-traitance − matériel marqué déjà acquis.</w:t>
            </w:r>
          </w:p>
        </w:tc>
        <w:tc>
          <w:tcPr>
            <w:tcW w:type="dxa" w:w="3360"/>
            <w:vAlign w:val="center"/>
          </w:tcPr>
          <w:p>
            <w:r/>
            <w:r>
              <w:rPr>
                <w:b w:val="0"/>
                <w:sz w:val="17"/>
              </w:rPr>
              <w:t>Le type d’acquisition et isAlreadyAcquired doivent être corrects. La location n’est pas déduite comme sous-traitance.</w:t>
            </w:r>
          </w:p>
        </w:tc>
      </w:tr>
      <w:tr>
        <w:tc>
          <w:tcPr>
            <w:tcW w:type="dxa" w:w="3360"/>
            <w:vAlign w:val="center"/>
            <w:shd w:fill="F1F5F9"/>
          </w:tcPr>
          <w:p>
            <w:r/>
            <w:r>
              <w:rPr>
                <w:b w:val="0"/>
                <w:sz w:val="17"/>
              </w:rPr>
              <w:t>CMRM ajusté</w:t>
            </w:r>
          </w:p>
        </w:tc>
        <w:tc>
          <w:tcPr>
            <w:tcW w:type="dxa" w:w="3360"/>
            <w:vAlign w:val="center"/>
            <w:shd w:fill="F1F5F9"/>
          </w:tcPr>
          <w:p>
            <w:r/>
            <w:r>
              <w:rPr>
                <w:b w:val="0"/>
                <w:sz w:val="17"/>
              </w:rPr>
              <w:t>Le moteur remplace la ligne de code 10 par Coût Matériel 1 et additionne les autres montants initiaux.</w:t>
            </w:r>
          </w:p>
        </w:tc>
        <w:tc>
          <w:tcPr>
            <w:tcW w:type="dxa" w:w="3360"/>
            <w:vAlign w:val="center"/>
            <w:shd w:fill="F1F5F9"/>
          </w:tcPr>
          <w:p>
            <w:r/>
            <w:r>
              <w:rPr>
                <w:b w:val="0"/>
                <w:sz w:val="17"/>
              </w:rPr>
              <w:t>Le code suppose qu’une ligne code 10 existe ; le montant de comparaison mentionné dans certaines opérations est codé en dur.</w:t>
            </w:r>
          </w:p>
        </w:tc>
      </w:tr>
      <w:tr>
        <w:tc>
          <w:tcPr>
            <w:tcW w:type="dxa" w:w="3360"/>
            <w:vAlign w:val="center"/>
          </w:tcPr>
          <w:p>
            <w:r/>
            <w:r>
              <w:rPr>
                <w:b w:val="0"/>
                <w:sz w:val="17"/>
              </w:rPr>
              <w:t>Investissement ajusté</w:t>
            </w:r>
          </w:p>
        </w:tc>
        <w:tc>
          <w:tcPr>
            <w:tcW w:type="dxa" w:w="3360"/>
            <w:vAlign w:val="center"/>
          </w:tcPr>
          <w:p>
            <w:r/>
            <w:r>
              <w:rPr>
                <w:b w:val="0"/>
                <w:sz w:val="17"/>
              </w:rPr>
              <w:t>La ligne d’acquisition de matériel dans V.1 est ajustée au Coût Matériel 1, puis les phases sont totalisées.</w:t>
            </w:r>
          </w:p>
        </w:tc>
        <w:tc>
          <w:tcPr>
            <w:tcW w:type="dxa" w:w="3360"/>
            <w:vAlign w:val="center"/>
          </w:tcPr>
          <w:p>
            <w:r/>
            <w:r>
              <w:rPr>
                <w:b w:val="0"/>
                <w:sz w:val="17"/>
              </w:rPr>
              <w:t>Le moteur reconnaît la ligne à partir de sa description ; les libellés doivent rester cohérents.</w:t>
            </w:r>
          </w:p>
        </w:tc>
      </w:tr>
      <w:tr>
        <w:tc>
          <w:tcPr>
            <w:tcW w:type="dxa" w:w="3360"/>
            <w:vAlign w:val="center"/>
            <w:shd w:fill="F1F5F9"/>
          </w:tcPr>
          <w:p>
            <w:r/>
            <w:r>
              <w:rPr>
                <w:b w:val="0"/>
                <w:sz w:val="17"/>
              </w:rPr>
              <w:t>RSE / PRSE</w:t>
            </w:r>
          </w:p>
        </w:tc>
        <w:tc>
          <w:tcPr>
            <w:tcW w:type="dxa" w:w="3360"/>
            <w:vAlign w:val="center"/>
            <w:shd w:fill="F1F5F9"/>
          </w:tcPr>
          <w:p>
            <w:r/>
            <w:r>
              <w:rPr>
                <w:b w:val="0"/>
                <w:sz w:val="17"/>
              </w:rPr>
              <w:t>Le moteur calcule un minimum de 2 % de l’investissement ajusté et une dotation annuelle PRSE égale au RSE ajusté divisé par trois, selon les règles codées.</w:t>
            </w:r>
          </w:p>
        </w:tc>
        <w:tc>
          <w:tcPr>
            <w:tcW w:type="dxa" w:w="3360"/>
            <w:vAlign w:val="center"/>
            <w:shd w:fill="F1F5F9"/>
          </w:tcPr>
          <w:p>
            <w:r/>
            <w:r>
              <w:rPr>
                <w:b w:val="0"/>
                <w:sz w:val="17"/>
              </w:rPr>
              <w:t>Confirmer la règle en vigueur et vérifier les montants déclarés, la durée et la couverture financière.</w:t>
            </w:r>
          </w:p>
        </w:tc>
      </w:tr>
    </w:tbl>
    <w:p/>
    <w:p>
      <w:pPr>
        <w:pStyle w:val="Heading2"/>
      </w:pPr>
      <w:r>
        <w:t>4.2 Barème et statuts</w:t>
      </w:r>
    </w:p>
    <w:p>
      <w:r>
        <w:t>Le code et les composants décrivent une évaluation structurée en étapes, avec un maximum global annoncé de 110 points. La documentation intégrée au dépôt mentionne les seuils 95–110 (avis favorable), 75–94 (ajustements) et 0–74 (DCI). Avant un usage opérationnel, comparez ces seuils à la logique réellement présente dans evaluationEngine.ts et au guide réglementaire applicable : la documentation d’un dépôt n’est pas une preuve suffisante de conformité juridique.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04A"/>
          </w:tcPr>
          <w:p>
            <w:r/>
            <w:r>
              <w:rPr>
                <w:b/>
                <w:color w:val="FFFFFF"/>
                <w:sz w:val="17"/>
              </w:rPr>
              <w:t>Terme dans l’interface</w:t>
            </w:r>
          </w:p>
        </w:tc>
        <w:tc>
          <w:tcPr>
            <w:tcW w:type="dxa" w:w="5040"/>
            <w:vAlign w:val="center"/>
            <w:shd w:fill="12304A"/>
          </w:tcPr>
          <w:p>
            <w:r/>
            <w:r>
              <w:rPr>
                <w:b/>
                <w:color w:val="FFFFFF"/>
                <w:sz w:val="17"/>
              </w:rPr>
              <w:t>Sens fonctionnel</w:t>
            </w:r>
          </w:p>
        </w:tc>
      </w:tr>
      <w:tr>
        <w:tc>
          <w:tcPr>
            <w:tcW w:type="dxa" w:w="5040"/>
            <w:vAlign w:val="center"/>
          </w:tcPr>
          <w:p>
            <w:r/>
            <w:r>
              <w:rPr>
                <w:b w:val="0"/>
                <w:sz w:val="17"/>
              </w:rPr>
              <w:t>CONFORME</w:t>
            </w:r>
          </w:p>
        </w:tc>
        <w:tc>
          <w:tcPr>
            <w:tcW w:type="dxa" w:w="5040"/>
            <w:vAlign w:val="center"/>
          </w:tcPr>
          <w:p>
            <w:r/>
            <w:r>
              <w:rPr>
                <w:b w:val="0"/>
                <w:sz w:val="17"/>
              </w:rPr>
              <w:t>Le critère est considéré satisfait par la règle du moteur.</w:t>
            </w:r>
          </w:p>
        </w:tc>
      </w:tr>
      <w:tr>
        <w:tc>
          <w:tcPr>
            <w:tcW w:type="dxa" w:w="5040"/>
            <w:vAlign w:val="center"/>
            <w:shd w:fill="F1F5F9"/>
          </w:tcPr>
          <w:p>
            <w:r/>
            <w:r>
              <w:rPr>
                <w:b w:val="0"/>
                <w:sz w:val="17"/>
              </w:rPr>
              <w:t>ACCEPTABLE</w:t>
            </w:r>
          </w:p>
        </w:tc>
        <w:tc>
          <w:tcPr>
            <w:tcW w:type="dxa" w:w="5040"/>
            <w:vAlign w:val="center"/>
            <w:shd w:fill="F1F5F9"/>
          </w:tcPr>
          <w:p>
            <w:r/>
            <w:r>
              <w:rPr>
                <w:b w:val="0"/>
                <w:sz w:val="17"/>
              </w:rPr>
              <w:t>Une anomalie ou un écart existe mais le critère n’est pas nécessairement éliminatoire.</w:t>
            </w:r>
          </w:p>
        </w:tc>
      </w:tr>
      <w:tr>
        <w:tc>
          <w:tcPr>
            <w:tcW w:type="dxa" w:w="5040"/>
            <w:vAlign w:val="center"/>
          </w:tcPr>
          <w:p>
            <w:r/>
            <w:r>
              <w:rPr>
                <w:b w:val="0"/>
                <w:sz w:val="17"/>
              </w:rPr>
              <w:t>NON_ADMISSIBLE / DCI</w:t>
            </w:r>
          </w:p>
        </w:tc>
        <w:tc>
          <w:tcPr>
            <w:tcW w:type="dxa" w:w="5040"/>
            <w:vAlign w:val="center"/>
          </w:tcPr>
          <w:p>
            <w:r/>
            <w:r>
              <w:rPr>
                <w:b w:val="0"/>
                <w:sz w:val="17"/>
              </w:rPr>
              <w:t>Statut défavorable ou demande de complément déclenchée par les règles codées.</w:t>
            </w:r>
          </w:p>
        </w:tc>
      </w:tr>
      <w:tr>
        <w:tc>
          <w:tcPr>
            <w:tcW w:type="dxa" w:w="5040"/>
            <w:vAlign w:val="center"/>
            <w:shd w:fill="F1F5F9"/>
          </w:tcPr>
          <w:p>
            <w:r/>
            <w:r>
              <w:rPr>
                <w:b w:val="0"/>
                <w:sz w:val="17"/>
              </w:rPr>
              <w:t>Avis global</w:t>
            </w:r>
          </w:p>
        </w:tc>
        <w:tc>
          <w:tcPr>
            <w:tcW w:type="dxa" w:w="5040"/>
            <w:vAlign w:val="center"/>
            <w:shd w:fill="F1F5F9"/>
          </w:tcPr>
          <w:p>
            <w:r/>
            <w:r>
              <w:rPr>
                <w:b w:val="0"/>
                <w:sz w:val="17"/>
              </w:rPr>
              <w:t>Synthèse calculée à partir des résultats d’étapes ; à relire avec les constats détaillés.</w:t>
            </w:r>
          </w:p>
        </w:tc>
      </w:tr>
    </w:tbl>
    <w:p/>
    <w:p>
      <w:pPr>
        <w:pStyle w:val="Heading2"/>
      </w:pPr>
      <w:r>
        <w:t>4.3 Limite importante sur l’automatisation</w:t>
      </w:r>
    </w:p>
    <w:p>
      <w:r>
        <w:t>Un calcul déterministe peut être reproductible sans être juridiquement correct si la règle source, les données d’entrée ou le code sont erronés. Les formules, seuils, catégories et montants de référence doivent être validés par les responsables métier et couverts par des tests.</w:t>
      </w:r>
    </w:p>
    <w:p>
      <w:r>
        <w:br w:type="page"/>
      </w:r>
    </w:p>
    <w:p>
      <w:pPr>
        <w:pStyle w:val="Heading1"/>
      </w:pPr>
      <w:r>
        <w:t>5. Architecture technique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04A"/>
          </w:tcPr>
          <w:p>
            <w:r/>
            <w:r>
              <w:rPr>
                <w:b/>
                <w:color w:val="FFFFFF"/>
                <w:sz w:val="17"/>
              </w:rPr>
              <w:t>Couche</w:t>
            </w:r>
          </w:p>
        </w:tc>
        <w:tc>
          <w:tcPr>
            <w:tcW w:type="dxa" w:w="3360"/>
            <w:vAlign w:val="center"/>
            <w:shd w:fill="12304A"/>
          </w:tcPr>
          <w:p>
            <w:r/>
            <w:r>
              <w:rPr>
                <w:b/>
                <w:color w:val="FFFFFF"/>
                <w:sz w:val="17"/>
              </w:rPr>
              <w:t>Technologies / fichiers</w:t>
            </w:r>
          </w:p>
        </w:tc>
        <w:tc>
          <w:tcPr>
            <w:tcW w:type="dxa" w:w="3360"/>
            <w:vAlign w:val="center"/>
            <w:shd w:fill="12304A"/>
          </w:tcPr>
          <w:p>
            <w:r/>
            <w:r>
              <w:rPr>
                <w:b/>
                <w:color w:val="FFFFFF"/>
                <w:sz w:val="17"/>
              </w:rPr>
              <w:t>Responsabilité</w:t>
            </w:r>
          </w:p>
        </w:tc>
      </w:tr>
      <w:tr>
        <w:tc>
          <w:tcPr>
            <w:tcW w:type="dxa" w:w="3360"/>
            <w:vAlign w:val="center"/>
          </w:tcPr>
          <w:p>
            <w:r/>
            <w:r>
              <w:rPr>
                <w:b w:val="0"/>
                <w:sz w:val="17"/>
              </w:rPr>
              <w:t>Interface</w:t>
            </w:r>
          </w:p>
        </w:tc>
        <w:tc>
          <w:tcPr>
            <w:tcW w:type="dxa" w:w="3360"/>
            <w:vAlign w:val="center"/>
          </w:tcPr>
          <w:p>
            <w:r/>
            <w:r>
              <w:rPr>
                <w:b w:val="0"/>
                <w:sz w:val="17"/>
              </w:rPr>
              <w:t>React 19, TypeScript, Vite, Tailwind CSS, lucide-react, motion</w:t>
            </w:r>
          </w:p>
        </w:tc>
        <w:tc>
          <w:tcPr>
            <w:tcW w:type="dxa" w:w="3360"/>
            <w:vAlign w:val="center"/>
          </w:tcPr>
          <w:p>
            <w:r/>
            <w:r>
              <w:rPr>
                <w:b w:val="0"/>
                <w:sz w:val="17"/>
              </w:rPr>
              <w:t>Affichage des étapes, formulaires, navigation, états et interactions.</w:t>
            </w:r>
          </w:p>
        </w:tc>
      </w:tr>
      <w:tr>
        <w:tc>
          <w:tcPr>
            <w:tcW w:type="dxa" w:w="3360"/>
            <w:vAlign w:val="center"/>
            <w:shd w:fill="F1F5F9"/>
          </w:tcPr>
          <w:p>
            <w:r/>
            <w:r>
              <w:rPr>
                <w:b w:val="0"/>
                <w:sz w:val="17"/>
              </w:rPr>
              <w:t>État applicatif</w:t>
            </w:r>
          </w:p>
        </w:tc>
        <w:tc>
          <w:tcPr>
            <w:tcW w:type="dxa" w:w="3360"/>
            <w:vAlign w:val="center"/>
            <w:shd w:fill="F1F5F9"/>
          </w:tcPr>
          <w:p>
            <w:r/>
            <w:r>
              <w:rPr>
                <w:b w:val="0"/>
                <w:sz w:val="17"/>
              </w:rPr>
              <w:t>src/App.tsx</w:t>
            </w:r>
          </w:p>
        </w:tc>
        <w:tc>
          <w:tcPr>
            <w:tcW w:type="dxa" w:w="3360"/>
            <w:vAlign w:val="center"/>
            <w:shd w:fill="F1F5F9"/>
          </w:tcPr>
          <w:p>
            <w:r/>
            <w:r>
              <w:rPr>
                <w:b w:val="0"/>
                <w:sz w:val="17"/>
              </w:rPr>
              <w:t>Dossier courant, onglet actif, validation humaine et rapport recalculé.</w:t>
            </w:r>
          </w:p>
        </w:tc>
      </w:tr>
      <w:tr>
        <w:tc>
          <w:tcPr>
            <w:tcW w:type="dxa" w:w="3360"/>
            <w:vAlign w:val="center"/>
          </w:tcPr>
          <w:p>
            <w:r/>
            <w:r>
              <w:rPr>
                <w:b w:val="0"/>
                <w:sz w:val="17"/>
              </w:rPr>
              <w:t>Modèle</w:t>
            </w:r>
          </w:p>
        </w:tc>
        <w:tc>
          <w:tcPr>
            <w:tcW w:type="dxa" w:w="3360"/>
            <w:vAlign w:val="center"/>
          </w:tcPr>
          <w:p>
            <w:r/>
            <w:r>
              <w:rPr>
                <w:b w:val="0"/>
                <w:sz w:val="17"/>
              </w:rPr>
              <w:t>src/types/mining.ts</w:t>
            </w:r>
          </w:p>
        </w:tc>
        <w:tc>
          <w:tcPr>
            <w:tcW w:type="dxa" w:w="3360"/>
            <w:vAlign w:val="center"/>
          </w:tcPr>
          <w:p>
            <w:r/>
            <w:r>
              <w:rPr>
                <w:b w:val="0"/>
                <w:sz w:val="17"/>
              </w:rPr>
              <w:t>Interfaces TypeScript des dossiers, matériels, investissements, rapports et constats.</w:t>
            </w:r>
          </w:p>
        </w:tc>
      </w:tr>
      <w:tr>
        <w:tc>
          <w:tcPr>
            <w:tcW w:type="dxa" w:w="3360"/>
            <w:vAlign w:val="center"/>
            <w:shd w:fill="F1F5F9"/>
          </w:tcPr>
          <w:p>
            <w:r/>
            <w:r>
              <w:rPr>
                <w:b w:val="0"/>
                <w:sz w:val="17"/>
              </w:rPr>
              <w:t>Extraction PDF</w:t>
            </w:r>
          </w:p>
        </w:tc>
        <w:tc>
          <w:tcPr>
            <w:tcW w:type="dxa" w:w="3360"/>
            <w:vAlign w:val="center"/>
            <w:shd w:fill="F1F5F9"/>
          </w:tcPr>
          <w:p>
            <w:r/>
            <w:r>
              <w:rPr>
                <w:b w:val="0"/>
                <w:sz w:val="17"/>
              </w:rPr>
              <w:t>pdfjs-dist + src/utils/pdfParser.ts</w:t>
            </w:r>
          </w:p>
        </w:tc>
        <w:tc>
          <w:tcPr>
            <w:tcW w:type="dxa" w:w="3360"/>
            <w:vAlign w:val="center"/>
            <w:shd w:fill="F1F5F9"/>
          </w:tcPr>
          <w:p>
            <w:r/>
            <w:r>
              <w:rPr>
                <w:b w:val="0"/>
                <w:sz w:val="17"/>
              </w:rPr>
              <w:t>Extraction du texte du PDF, tentative API et parsing heuristique de secours.</w:t>
            </w:r>
          </w:p>
        </w:tc>
      </w:tr>
      <w:tr>
        <w:tc>
          <w:tcPr>
            <w:tcW w:type="dxa" w:w="3360"/>
            <w:vAlign w:val="center"/>
          </w:tcPr>
          <w:p>
            <w:r/>
            <w:r>
              <w:rPr>
                <w:b w:val="0"/>
                <w:sz w:val="17"/>
              </w:rPr>
              <w:t>API serveur</w:t>
            </w:r>
          </w:p>
        </w:tc>
        <w:tc>
          <w:tcPr>
            <w:tcW w:type="dxa" w:w="3360"/>
            <w:vAlign w:val="center"/>
          </w:tcPr>
          <w:p>
            <w:r/>
            <w:r>
              <w:rPr>
                <w:b w:val="0"/>
                <w:sz w:val="17"/>
              </w:rPr>
              <w:t>Express + server.ts</w:t>
            </w:r>
          </w:p>
        </w:tc>
        <w:tc>
          <w:tcPr>
            <w:tcW w:type="dxa" w:w="3360"/>
            <w:vAlign w:val="center"/>
          </w:tcPr>
          <w:p>
            <w:r/>
            <w:r>
              <w:rPr>
                <w:b w:val="0"/>
                <w:sz w:val="17"/>
              </w:rPr>
              <w:t>Route Gemini et service des fichiers statiques en production ; middleware Vite en développement.</w:t>
            </w:r>
          </w:p>
        </w:tc>
      </w:tr>
      <w:tr>
        <w:tc>
          <w:tcPr>
            <w:tcW w:type="dxa" w:w="3360"/>
            <w:vAlign w:val="center"/>
            <w:shd w:fill="F1F5F9"/>
          </w:tcPr>
          <w:p>
            <w:r/>
            <w:r>
              <w:rPr>
                <w:b w:val="0"/>
                <w:sz w:val="17"/>
              </w:rPr>
              <w:t>Évaluation</w:t>
            </w:r>
          </w:p>
        </w:tc>
        <w:tc>
          <w:tcPr>
            <w:tcW w:type="dxa" w:w="3360"/>
            <w:vAlign w:val="center"/>
            <w:shd w:fill="F1F5F9"/>
          </w:tcPr>
          <w:p>
            <w:r/>
            <w:r>
              <w:rPr>
                <w:b w:val="0"/>
                <w:sz w:val="17"/>
              </w:rPr>
              <w:t>src/utils/evaluationEngine.ts</w:t>
            </w:r>
          </w:p>
        </w:tc>
        <w:tc>
          <w:tcPr>
            <w:tcW w:type="dxa" w:w="3360"/>
            <w:vAlign w:val="center"/>
            <w:shd w:fill="F1F5F9"/>
          </w:tcPr>
          <w:p>
            <w:r/>
            <w:r>
              <w:rPr>
                <w:b w:val="0"/>
                <w:sz w:val="17"/>
              </w:rPr>
              <w:t>Calcul des montants ajustés, contrôles, points et constats.</w:t>
            </w:r>
          </w:p>
        </w:tc>
      </w:tr>
      <w:tr>
        <w:tc>
          <w:tcPr>
            <w:tcW w:type="dxa" w:w="3360"/>
            <w:vAlign w:val="center"/>
          </w:tcPr>
          <w:p>
            <w:r/>
            <w:r>
              <w:rPr>
                <w:b w:val="0"/>
                <w:sz w:val="17"/>
              </w:rPr>
              <w:t>Documents</w:t>
            </w:r>
          </w:p>
        </w:tc>
        <w:tc>
          <w:tcPr>
            <w:tcW w:type="dxa" w:w="3360"/>
            <w:vAlign w:val="center"/>
          </w:tcPr>
          <w:p>
            <w:r/>
            <w:r>
              <w:rPr>
                <w:b w:val="0"/>
                <w:sz w:val="17"/>
              </w:rPr>
              <w:t>src/utils/docxGenerator.ts et pdfGenerator.ts</w:t>
            </w:r>
          </w:p>
        </w:tc>
        <w:tc>
          <w:tcPr>
            <w:tcW w:type="dxa" w:w="3360"/>
            <w:vAlign w:val="center"/>
          </w:tcPr>
          <w:p>
            <w:r/>
            <w:r>
              <w:rPr>
                <w:b w:val="0"/>
                <w:sz w:val="17"/>
              </w:rPr>
              <w:t>Production Word/PDF à partir du dossier et du rapport.</w:t>
            </w:r>
          </w:p>
        </w:tc>
      </w:tr>
      <w:tr>
        <w:tc>
          <w:tcPr>
            <w:tcW w:type="dxa" w:w="3360"/>
            <w:vAlign w:val="center"/>
            <w:shd w:fill="F1F5F9"/>
          </w:tcPr>
          <w:p>
            <w:r/>
            <w:r>
              <w:rPr>
                <w:b w:val="0"/>
                <w:sz w:val="17"/>
              </w:rPr>
              <w:t>Tableaux</w:t>
            </w:r>
          </w:p>
        </w:tc>
        <w:tc>
          <w:tcPr>
            <w:tcW w:type="dxa" w:w="3360"/>
            <w:vAlign w:val="center"/>
            <w:shd w:fill="F1F5F9"/>
          </w:tcPr>
          <w:p>
            <w:r/>
            <w:r>
              <w:rPr>
                <w:b w:val="0"/>
                <w:sz w:val="17"/>
              </w:rPr>
              <w:t>src/components/AdjustedTablesExcelView.tsx</w:t>
            </w:r>
          </w:p>
        </w:tc>
        <w:tc>
          <w:tcPr>
            <w:tcW w:type="dxa" w:w="3360"/>
            <w:vAlign w:val="center"/>
            <w:shd w:fill="F1F5F9"/>
          </w:tcPr>
          <w:p>
            <w:r/>
            <w:r>
              <w:rPr>
                <w:b w:val="0"/>
                <w:sz w:val="17"/>
              </w:rPr>
              <w:t>Assemblage et copie/téléchargement TSV.</w:t>
            </w:r>
          </w:p>
        </w:tc>
      </w:tr>
    </w:tbl>
    <w:p/>
    <w:p>
      <w:pPr>
        <w:pStyle w:val="Heading2"/>
      </w:pPr>
      <w:r>
        <w:t>5.1 Cycle de données</w:t>
      </w:r>
    </w:p>
    <w:p>
      <w:pPr>
        <w:pStyle w:val="ListNumber"/>
      </w:pPr>
      <w:r>
        <w:t>L’utilisateur choisit un dossier ou charge un fichier.</w:t>
      </w:r>
    </w:p>
    <w:p>
      <w:pPr>
        <w:pStyle w:val="ListNumber"/>
      </w:pPr>
      <w:r>
        <w:t>parsePdfFile lit le PDF et construit rawText ; il essaie ensuite l’API serveur.</w:t>
      </w:r>
    </w:p>
    <w:p>
      <w:pPr>
        <w:pStyle w:val="ListNumber"/>
      </w:pPr>
      <w:r>
        <w:t>Le résultat est converti en MiningPermitDocument.</w:t>
      </w:r>
    </w:p>
    <w:p>
      <w:pPr>
        <w:pStyle w:val="ListNumber"/>
      </w:pPr>
      <w:r>
        <w:t>App.tsx place le dossier dans l’état React via setDoc.</w:t>
      </w:r>
    </w:p>
    <w:p>
      <w:pPr>
        <w:pStyle w:val="ListNumber"/>
      </w:pPr>
      <w:r>
        <w:t>useMemo appelle evaluateMiningDossier(doc) et produit FullEvaluationReport.</w:t>
      </w:r>
    </w:p>
    <w:p>
      <w:pPr>
        <w:pStyle w:val="ListNumber"/>
      </w:pPr>
      <w:r>
        <w:t>Les composants d’évaluation, validation, CCM et tableaux reçoivent doc et/ou report en props.</w:t>
      </w:r>
    </w:p>
    <w:p>
      <w:pPr>
        <w:pStyle w:val="ListNumber"/>
      </w:pPr>
      <w:r>
        <w:t>Les générateurs produisent un Blob Word ou un PDF, puis déclenchent le téléchargement dans le navigateur.</w:t>
      </w:r>
    </w:p>
    <w:p>
      <w:pPr>
        <w:pStyle w:val="Heading2"/>
      </w:pPr>
      <w:r>
        <w:t>5.2 État et persistance</w:t>
      </w:r>
    </w:p>
    <w:p>
      <w:r>
        <w:t>L’état observé est conservé dans React pendant la session. L’archive examinée ne contient pas de base de données ni de mécanisme explicite de sauvegarde persistante du dossier. Un rechargement de la page peut donc réinitialiser le dossier courant et la validation.</w:t>
      </w:r>
    </w:p>
    <w:p>
      <w:pPr>
        <w:pStyle w:val="Heading2"/>
      </w:pPr>
      <w:r>
        <w:t>5.3 Réactivité</w:t>
      </w:r>
    </w:p>
    <w:p>
      <w:r>
        <w:t>useMemo évite de recalculer le rapport tant que les dépendances doc et humanValidationOverride n’ont pas changé. Le rapport brut est recalculé par evaluateMiningDossier ; lorsque l’état de validation est vrai, App.tsx ajoute au rapport l’état validé, le nom et la date.</w:t>
      </w:r>
    </w:p>
    <w:p>
      <w:r>
        <w:br w:type="page"/>
      </w:r>
    </w:p>
    <w:p>
      <w:pPr>
        <w:pStyle w:val="Heading1"/>
      </w:pPr>
      <w:r>
        <w:t>6. Modèle de données TypeScript</w:t>
      </w:r>
    </w:p>
    <w:p>
      <w:r>
        <w:t>src/types/mining.ts est le contrat de données central. Il décrit les champs nécessaires à l’analyse et aux documents générés.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04A"/>
          </w:tcPr>
          <w:p>
            <w:r/>
            <w:r>
              <w:rPr>
                <w:b/>
                <w:color w:val="FFFFFF"/>
                <w:sz w:val="17"/>
              </w:rPr>
              <w:t>Type</w:t>
            </w:r>
          </w:p>
        </w:tc>
        <w:tc>
          <w:tcPr>
            <w:tcW w:type="dxa" w:w="5040"/>
            <w:vAlign w:val="center"/>
            <w:shd w:fill="12304A"/>
          </w:tcPr>
          <w:p>
            <w:r/>
            <w:r>
              <w:rPr>
                <w:b/>
                <w:color w:val="FFFFFF"/>
                <w:sz w:val="17"/>
              </w:rPr>
              <w:t>Contenu principal</w:t>
            </w:r>
          </w:p>
        </w:tc>
      </w:tr>
      <w:tr>
        <w:tc>
          <w:tcPr>
            <w:tcW w:type="dxa" w:w="5040"/>
            <w:vAlign w:val="center"/>
          </w:tcPr>
          <w:p>
            <w:r/>
            <w:r>
              <w:rPr>
                <w:b w:val="0"/>
                <w:sz w:val="17"/>
              </w:rPr>
              <w:t>MiningPermitDocument</w:t>
            </w:r>
          </w:p>
        </w:tc>
        <w:tc>
          <w:tcPr>
            <w:tcW w:type="dxa" w:w="5040"/>
            <w:vAlign w:val="center"/>
          </w:tcPr>
          <w:p>
            <w:r/>
            <w:r>
              <w:rPr>
                <w:b w:val="0"/>
                <w:sz w:val="17"/>
              </w:rPr>
              <w:t>Identité du permis, titulaire, localisation, substances, géologie, programme, matériels, investissements, CMRM, financement, environnement, RSE/PRSE, personnel, produits chimiques, échantillons et déclaration.</w:t>
            </w:r>
          </w:p>
        </w:tc>
      </w:tr>
      <w:tr>
        <w:tc>
          <w:tcPr>
            <w:tcW w:type="dxa" w:w="5040"/>
            <w:vAlign w:val="center"/>
            <w:shd w:fill="F1F5F9"/>
          </w:tcPr>
          <w:p>
            <w:r/>
            <w:r>
              <w:rPr>
                <w:b w:val="0"/>
                <w:sz w:val="17"/>
              </w:rPr>
              <w:t>EquipmentItem</w:t>
            </w:r>
          </w:p>
        </w:tc>
        <w:tc>
          <w:tcPr>
            <w:tcW w:type="dxa" w:w="5040"/>
            <w:vAlign w:val="center"/>
            <w:shd w:fill="F1F5F9"/>
          </w:tcPr>
          <w:p>
            <w:r/>
            <w:r>
              <w:rPr>
                <w:b w:val="0"/>
                <w:sz w:val="17"/>
              </w:rPr>
              <w:t>Identifiant, désignation, caractéristiques, quantité, prix unitaire, total, mode Achat/Location/Sous-traitance et indicateur facultatif déjà acquis.</w:t>
            </w:r>
          </w:p>
        </w:tc>
      </w:tr>
      <w:tr>
        <w:tc>
          <w:tcPr>
            <w:tcW w:type="dxa" w:w="5040"/>
            <w:vAlign w:val="center"/>
          </w:tcPr>
          <w:p>
            <w:r/>
            <w:r>
              <w:rPr>
                <w:b w:val="0"/>
                <w:sz w:val="17"/>
              </w:rPr>
              <w:t>InvestmentPhaseItem</w:t>
            </w:r>
          </w:p>
        </w:tc>
        <w:tc>
          <w:tcPr>
            <w:tcW w:type="dxa" w:w="5040"/>
            <w:vAlign w:val="center"/>
          </w:tcPr>
          <w:p>
            <w:r/>
            <w:r>
              <w:rPr>
                <w:b w:val="0"/>
                <w:sz w:val="17"/>
              </w:rPr>
              <w:t>Phase, activité, montant initial et ajusté, mois de début, durée, indicateur d’ajustement.</w:t>
            </w:r>
          </w:p>
        </w:tc>
      </w:tr>
      <w:tr>
        <w:tc>
          <w:tcPr>
            <w:tcW w:type="dxa" w:w="5040"/>
            <w:vAlign w:val="center"/>
            <w:shd w:fill="F1F5F9"/>
          </w:tcPr>
          <w:p>
            <w:r/>
            <w:r>
              <w:rPr>
                <w:b w:val="0"/>
                <w:sz w:val="17"/>
              </w:rPr>
              <w:t>CmrmItem</w:t>
            </w:r>
          </w:p>
        </w:tc>
        <w:tc>
          <w:tcPr>
            <w:tcW w:type="dxa" w:w="5040"/>
            <w:vAlign w:val="center"/>
            <w:shd w:fill="F1F5F9"/>
          </w:tcPr>
          <w:p>
            <w:r/>
            <w:r>
              <w:rPr>
                <w:b w:val="0"/>
                <w:sz w:val="17"/>
              </w:rPr>
              <w:t>Code/catégorie, garanties bancaires, consignation, autre garantie, montants initial et ajusté.</w:t>
            </w:r>
          </w:p>
        </w:tc>
      </w:tr>
      <w:tr>
        <w:tc>
          <w:tcPr>
            <w:tcW w:type="dxa" w:w="5040"/>
            <w:vAlign w:val="center"/>
          </w:tcPr>
          <w:p>
            <w:r/>
            <w:r>
              <w:rPr>
                <w:b w:val="0"/>
                <w:sz w:val="17"/>
              </w:rPr>
              <w:t>FinancingItem</w:t>
            </w:r>
          </w:p>
        </w:tc>
        <w:tc>
          <w:tcPr>
            <w:tcW w:type="dxa" w:w="5040"/>
            <w:vAlign w:val="center"/>
          </w:tcPr>
          <w:p>
            <w:r/>
            <w:r>
              <w:rPr>
                <w:b w:val="0"/>
                <w:sz w:val="17"/>
              </w:rPr>
              <w:t>Source, forme Numéraire/Nature, utilisation et montant MGA.</w:t>
            </w:r>
          </w:p>
        </w:tc>
      </w:tr>
      <w:tr>
        <w:tc>
          <w:tcPr>
            <w:tcW w:type="dxa" w:w="5040"/>
            <w:vAlign w:val="center"/>
            <w:shd w:fill="F1F5F9"/>
          </w:tcPr>
          <w:p>
            <w:r/>
            <w:r>
              <w:rPr>
                <w:b w:val="0"/>
                <w:sz w:val="17"/>
              </w:rPr>
              <w:t>EnvironmentalItem</w:t>
            </w:r>
          </w:p>
        </w:tc>
        <w:tc>
          <w:tcPr>
            <w:tcW w:type="dxa" w:w="5040"/>
            <w:vAlign w:val="center"/>
            <w:shd w:fill="F1F5F9"/>
          </w:tcPr>
          <w:p>
            <w:r/>
            <w:r>
              <w:rPr>
                <w:b w:val="0"/>
                <w:sz w:val="17"/>
              </w:rPr>
              <w:t>Activité et montant de provision.</w:t>
            </w:r>
          </w:p>
        </w:tc>
      </w:tr>
      <w:tr>
        <w:tc>
          <w:tcPr>
            <w:tcW w:type="dxa" w:w="5040"/>
            <w:vAlign w:val="center"/>
          </w:tcPr>
          <w:p>
            <w:r/>
            <w:r>
              <w:rPr>
                <w:b w:val="0"/>
                <w:sz w:val="17"/>
              </w:rPr>
              <w:t>EvaluationStepResult</w:t>
            </w:r>
          </w:p>
        </w:tc>
        <w:tc>
          <w:tcPr>
            <w:tcW w:type="dxa" w:w="5040"/>
            <w:vAlign w:val="center"/>
          </w:tcPr>
          <w:p>
            <w:r/>
            <w:r>
              <w:rPr>
                <w:b w:val="0"/>
                <w:sz w:val="17"/>
              </w:rPr>
              <w:t>Numéro/titre d’étape, maximum/score, statut, résumé, opérations, constats et actions.</w:t>
            </w:r>
          </w:p>
        </w:tc>
      </w:tr>
      <w:tr>
        <w:tc>
          <w:tcPr>
            <w:tcW w:type="dxa" w:w="5040"/>
            <w:vAlign w:val="center"/>
            <w:shd w:fill="F1F5F9"/>
          </w:tcPr>
          <w:p>
            <w:r/>
            <w:r>
              <w:rPr>
                <w:b w:val="0"/>
                <w:sz w:val="17"/>
              </w:rPr>
              <w:t>EvaluationPivotValues</w:t>
            </w:r>
          </w:p>
        </w:tc>
        <w:tc>
          <w:tcPr>
            <w:tcW w:type="dxa" w:w="5040"/>
            <w:vAlign w:val="center"/>
            <w:shd w:fill="F1F5F9"/>
          </w:tcPr>
          <w:p>
            <w:r/>
            <w:r>
              <w:rPr>
                <w:b w:val="0"/>
                <w:sz w:val="17"/>
              </w:rPr>
              <w:t>Valeurs financières pivots dérivées par le moteur.</w:t>
            </w:r>
          </w:p>
        </w:tc>
      </w:tr>
      <w:tr>
        <w:tc>
          <w:tcPr>
            <w:tcW w:type="dxa" w:w="5040"/>
            <w:vAlign w:val="center"/>
          </w:tcPr>
          <w:p>
            <w:r/>
            <w:r>
              <w:rPr>
                <w:b w:val="0"/>
                <w:sz w:val="17"/>
              </w:rPr>
              <w:t>FullEvaluationReport</w:t>
            </w:r>
          </w:p>
        </w:tc>
        <w:tc>
          <w:tcPr>
            <w:tcW w:type="dxa" w:w="5040"/>
            <w:vAlign w:val="center"/>
          </w:tcPr>
          <w:p>
            <w:r/>
            <w:r>
              <w:rPr>
                <w:b w:val="0"/>
                <w:sz w:val="17"/>
              </w:rPr>
              <w:t>Résultats d’étapes, score global, verdict, constats et informations de validation.</w:t>
            </w:r>
          </w:p>
        </w:tc>
      </w:tr>
    </w:tbl>
    <w:p/>
    <w:p>
      <w:pPr>
        <w:pStyle w:val="Heading2"/>
      </w:pPr>
      <w:r>
        <w:t>6.1 Principes de qualité des données</w:t>
      </w:r>
    </w:p>
    <w:p>
      <w:pPr>
        <w:pStyle w:val="ListBullet"/>
      </w:pPr>
      <w:r>
        <w:t>Les montants sont exprimés en ariary malgache (MGA) dans les interfaces et formules examinées.</w:t>
      </w:r>
    </w:p>
    <w:p>
      <w:pPr>
        <w:pStyle w:val="ListBullet"/>
      </w:pPr>
      <w:r>
        <w:t>Les nombres doivent être numériques et non des chaînes formatées contenant des séparateurs de milliers.</w:t>
      </w:r>
    </w:p>
    <w:p>
      <w:pPr>
        <w:pStyle w:val="ListBullet"/>
      </w:pPr>
      <w:r>
        <w:t>Les tableaux ont des identifiants de ligne ; conserver des identifiants stables lors de modifications.</w:t>
      </w:r>
    </w:p>
    <w:p>
      <w:pPr>
        <w:pStyle w:val="ListBullet"/>
      </w:pPr>
      <w:r>
        <w:t>Les champs facultatifs et les listes vides doivent être traités explicitement par le code.</w:t>
      </w:r>
    </w:p>
    <w:p>
      <w:pPr>
        <w:pStyle w:val="ListBullet"/>
      </w:pPr>
      <w:r>
        <w:t>Les tableaux financiers doivent être rapprochés du document source et les totaux recalculés.</w:t>
      </w:r>
    </w:p>
    <w:p>
      <w:pPr>
        <w:pStyle w:val="Heading2"/>
      </w:pPr>
      <w:r>
        <w:t>6.2 Ajouter un champ</w:t>
      </w:r>
    </w:p>
    <w:p>
      <w:pPr>
        <w:pStyle w:val="ListNumber"/>
      </w:pPr>
      <w:r>
        <w:t>Ajouter la propriété à MiningPermitDocument dans src/types/mining.ts.</w:t>
      </w:r>
    </w:p>
    <w:p>
      <w:pPr>
        <w:pStyle w:val="ListNumber"/>
      </w:pPr>
      <w:r>
        <w:t>Renseigner une valeur cohérente dans les dossiers d’exemple et dans buildDocumentFromExtractedData / parseTextHeuristically.</w:t>
      </w:r>
    </w:p>
    <w:p>
      <w:pPr>
        <w:pStyle w:val="ListNumber"/>
      </w:pPr>
      <w:r>
        <w:t>Ajouter l’édition et l’affichage dans les composants concernés.</w:t>
      </w:r>
    </w:p>
    <w:p>
      <w:pPr>
        <w:pStyle w:val="ListNumber"/>
      </w:pPr>
      <w:r>
        <w:t>Ajouter les règles de calcul ou contrôles dans evaluationEngine.ts si le champ influe sur l’évaluation.</w:t>
      </w:r>
    </w:p>
    <w:p>
      <w:pPr>
        <w:pStyle w:val="ListNumber"/>
      </w:pPr>
      <w:r>
        <w:t>Ajouter le champ aux exports DOCX/PDF et TSV si nécessaire.</w:t>
      </w:r>
    </w:p>
    <w:p>
      <w:pPr>
        <w:pStyle w:val="ListNumber"/>
      </w:pPr>
      <w:r>
        <w:t>Ajouter des tests avec données nominales, manquantes et incohérentes.</w:t>
      </w:r>
    </w:p>
    <w:p>
      <w:r>
        <w:br w:type="page"/>
      </w:r>
    </w:p>
    <w:p>
      <w:pPr>
        <w:pStyle w:val="Heading1"/>
      </w:pPr>
      <w:r>
        <w:t>7. Extraction PDF et assistance Gemini</w:t>
      </w:r>
    </w:p>
    <w:p>
      <w:pPr>
        <w:pStyle w:val="Heading2"/>
      </w:pPr>
      <w:r>
        <w:t>7.1 Extraction textuelle PDF</w:t>
      </w:r>
    </w:p>
    <w:p>
      <w:r>
        <w:t>parsePdfFile convertit le fichier en ArrayBuffer, charge le document via pdfjs-dist et récupère les éléments textuels de chaque page. Le texte est assemblé avec des séparateurs de pages. En cas d’erreur pdfjs, le code tente un décodage UTF-8 des octets, ce qui n’est pas une méthode fiable pour extraire le texte de tous les PDF.</w:t>
      </w:r>
    </w:p>
    <w:p>
      <w:pPr>
        <w:pStyle w:val="Heading2"/>
      </w:pPr>
      <w:r>
        <w:t>7.2 Route serveur POST /api/extract-ptpf</w:t>
      </w:r>
    </w:p>
    <w:p>
      <w:r>
        <w:t>server.ts attend un corps JSON contenant rawText. Si le texte manque ou n’est pas une chaîne, la route répond 400. Si GEMINI_API_KEY n’est pas configurée, elle renvoie une réponse de fallback. Sinon, le serveur envoie un prompt d’extraction au SDK @google/genai et demande une réponse au format JSON.</w:t>
      </w:r>
    </w:p>
    <w:p>
      <w:pPr>
        <w:ind w:left="288"/>
      </w:pPr>
      <w:r>
        <w:rPr>
          <w:rFonts w:ascii="Consolas" w:hAnsi="Consolas"/>
          <w:color w:val="334155"/>
          <w:sz w:val="16"/>
        </w:rPr>
        <w:t>POST /api/extract-ptpf</w:t>
        <w:br/>
        <w:t>Content-Type: application/json</w:t>
        <w:br/>
        <w:t>Body : { "rawText": "texte extrait du PTPF..." }</w:t>
      </w:r>
    </w:p>
    <w:p>
      <w:r>
        <w:t>Le prompt demande notamment le numéro/type de permis, code BCMM, mouvement, dates, localisation, carrés/surface, titulaire, forme juridique, NIF, substances, travaux, laboratoires, RSE, signataire et plusieurs valeurs techniques. Le code limite le texte transmis à 40 000 caractères.</w:t>
      </w:r>
    </w:p>
    <w:p>
      <w:pPr>
        <w:pStyle w:val="Heading2"/>
      </w:pPr>
      <w:r>
        <w:t>7.3 Erreurs et repli</w:t>
      </w:r>
    </w:p>
    <w:p>
      <w:pPr>
        <w:pStyle w:val="ListBullet"/>
      </w:pPr>
      <w:r>
        <w:t>400 : rawText manquant ou invalide.</w:t>
      </w:r>
    </w:p>
    <w:p>
      <w:pPr>
        <w:pStyle w:val="ListBullet"/>
      </w:pPr>
      <w:r>
        <w:t>200 avec success:false et fallback:true : clé absente ; le client peut poursuivre en heuristique.</w:t>
      </w:r>
    </w:p>
    <w:p>
      <w:pPr>
        <w:pStyle w:val="ListBullet"/>
      </w:pPr>
      <w:r>
        <w:t>500 : exception lors de l’appel Gemini ou du parsing JSON côté serveur.</w:t>
      </w:r>
    </w:p>
    <w:p>
      <w:pPr>
        <w:pStyle w:val="ListBullet"/>
      </w:pPr>
      <w:r>
        <w:t>Si l’appel fetch échoue côté client, le parseur heuristique est utilisé.</w:t>
      </w:r>
    </w:p>
    <w:p>
      <w:pPr>
        <w:pStyle w:val="Heading2"/>
      </w:pPr>
      <w:r>
        <w:t>7.4 Points de vigilance</w:t>
      </w:r>
    </w:p>
    <w:p>
      <w:pPr>
        <w:pStyle w:val="ListBullet"/>
      </w:pPr>
      <w:r>
        <w:t>Les PDF image/scannés nécessitent un OCR préalable ; pdfjs-dist n’effectue pas une reconnaissance optique complète du texte d’une image.</w:t>
      </w:r>
    </w:p>
    <w:p>
      <w:pPr>
        <w:pStyle w:val="ListBullet"/>
      </w:pPr>
      <w:r>
        <w:t>Un JSON valide peut contenir des valeurs inventées, mal interprétées ou absentes ; contrôler chaque champ.</w:t>
      </w:r>
    </w:p>
    <w:p>
      <w:pPr>
        <w:pStyle w:val="ListBullet"/>
      </w:pPr>
      <w:r>
        <w:t>Le code utilise un nom de modèle Gemini précis dans server.ts ; vérifier sa disponibilité réelle dans le compte et la version du SDK.</w:t>
      </w:r>
    </w:p>
    <w:p>
      <w:pPr>
        <w:pStyle w:val="ListBullet"/>
      </w:pPr>
      <w:r>
        <w:t>Limiter la taille des requêtes, ajouter des délais et un traitement d’erreur explicite, et éviter de journaliser des données confidentielles.</w:t>
      </w:r>
    </w:p>
    <w:p>
      <w:pPr>
        <w:pStyle w:val="ListBullet"/>
      </w:pPr>
      <w:r>
        <w:t>Le serveur accepte des corps jusqu’à 50 MB ; ajuster cette limite selon les besoins réels et les risques d’abus.</w:t>
      </w:r>
    </w:p>
    <w:p>
      <w:r>
        <w:br w:type="page"/>
      </w:r>
    </w:p>
    <w:p>
      <w:pPr>
        <w:pStyle w:val="Heading1"/>
      </w:pPr>
      <w:r>
        <w:t>8. Moteur d’évaluation : lecture développeur</w:t>
      </w:r>
    </w:p>
    <w:p>
      <w:r>
        <w:t>La fonction principale est evaluateMiningDossier(doc: MiningPermitDocument): FullEvaluationReport dans src/utils/evaluationEngine.ts. Elle reçoit un objet structuré et calcule le rapport. Elle ne devrait pas dépendre de l’interface utilisateur, ce qui permet de la tester séparément.</w:t>
      </w:r>
    </w:p>
    <w:p>
      <w:pPr>
        <w:pStyle w:val="Heading2"/>
      </w:pPr>
      <w:r>
        <w:t>8.1 Matériels V.2 et Coût Matériel 1</w:t>
      </w:r>
    </w:p>
    <w:p>
      <w:pPr>
        <w:ind w:left="288"/>
      </w:pPr>
      <w:r>
        <w:rPr>
          <w:rFonts w:ascii="Consolas" w:hAnsi="Consolas"/>
          <w:color w:val="334155"/>
          <w:sz w:val="16"/>
        </w:rPr>
        <w:t>totalLigne = unitPriceMGA × quantity</w:t>
        <w:br/>
        <w:t>Coût Matériel 1 = somme recalculée V.2 − sous-traitance − matériel déjà acquis</w:t>
      </w:r>
    </w:p>
    <w:p>
      <w:r>
        <w:t>Le code recalcule chaque ligne à partir du prix unitaire et de la quantité, plutôt que de faire confiance au total fourni. Les lignes acquisitionType === 'Sous-traitance' sont exclues ; les lignes marquées isAlreadyAcquired sont également déduites. Les locations ne sont pas déduites uniquement parce qu’elles sont des locations.</w:t>
      </w:r>
    </w:p>
    <w:p>
      <w:pPr>
        <w:pStyle w:val="Heading2"/>
      </w:pPr>
      <w:r>
        <w:t>8.2 CMRM V.3</w:t>
      </w:r>
    </w:p>
    <w:p>
      <w:r>
        <w:t>Le moteur additionne les montants initiaux du CMRM, puis remplace le montant de la ligne dont code === 10 par le Coût Matériel 1 pour calculer le total ajusté. Si la ligne 10 est absente ou dupliquée, le résultat peut ne pas refléter l’intention métier ; ajouter une validation explicite de structure.</w:t>
      </w:r>
    </w:p>
    <w:p>
      <w:pPr>
        <w:pStyle w:val="Heading2"/>
      </w:pPr>
      <w:r>
        <w:t>8.3 Investissement V.1</w:t>
      </w:r>
    </w:p>
    <w:p>
      <w:r>
        <w:t>Le moteur parcourt les investissements, ajuste la ligne correspondant à l’acquisition des matériels, et calcule des totaux par phase. Il vérifie ensuite les relations financières implémentées, notamment la comparaison de l’investissement ajusté avec le CMRM ajusté.</w:t>
      </w:r>
    </w:p>
    <w:p>
      <w:pPr>
        <w:pStyle w:val="Heading2"/>
      </w:pPr>
      <w:r>
        <w:t>8.4 Financement, RSE et PRSE</w:t>
      </w:r>
    </w:p>
    <w:p>
      <w:r>
        <w:t>La logique métier décrite dans le code calcule un minimum RSE basé sur 2 % de l’investissement ajusté, retient la valeur supérieure entre ce minimum et la valeur déclarée, puis calcule une dotation annuelle PRSE divisée par trois. Les règles de couverture de financement et de déclaration sont aussi examinées par les étapes correspondantes.</w:t>
      </w:r>
    </w:p>
    <w:p>
      <w:pPr>
        <w:pStyle w:val="Heading2"/>
      </w:pPr>
      <w:r>
        <w:t>8.5 Notation et constats</w:t>
      </w:r>
    </w:p>
    <w:p>
      <w:r>
        <w:t>Les étapes d’évaluation produisent un score, un maximum, un statut, un résumé et des opérations arithmétiques textuelles. Les constats doivent être lus pour comprendre la cause d’une pénalité ou d’une décision. Toute modification du barème doit être répercutée dans les tests, l’interface et les documents.</w:t>
      </w:r>
    </w:p>
    <w:p>
      <w:pPr>
        <w:pStyle w:val="Heading2"/>
      </w:pPr>
      <w:r>
        <w:t>8.6 Contrôles techniques recommandés</w:t>
      </w:r>
    </w:p>
    <w:p>
      <w:pPr>
        <w:pStyle w:val="ListBullet"/>
      </w:pPr>
      <w:r>
        <w:t>Remplacer les montants de comparaison codés en dur par des constantes nommées ou une configuration métier documentée.</w:t>
      </w:r>
    </w:p>
    <w:p>
      <w:pPr>
        <w:pStyle w:val="ListBullet"/>
      </w:pPr>
      <w:r>
        <w:t>Valider l’unicité et la présence de la ligne CMRM code 10.</w:t>
      </w:r>
    </w:p>
    <w:p>
      <w:pPr>
        <w:pStyle w:val="ListBullet"/>
      </w:pPr>
      <w:r>
        <w:t>Normaliser les libellés d’activité plutôt que dépendre uniquement de comparaisons de texte.</w:t>
      </w:r>
    </w:p>
    <w:p>
      <w:pPr>
        <w:pStyle w:val="ListBullet"/>
      </w:pPr>
      <w:r>
        <w:t>Utiliser des fonctions pures dédiées aux pivots, avec des tests unitaires indépendants.</w:t>
      </w:r>
    </w:p>
    <w:p>
      <w:pPr>
        <w:pStyle w:val="ListBullet"/>
      </w:pPr>
      <w:r>
        <w:t>Documenter les arrondis, les règles de nullité et le traitement des montants négatifs.</w:t>
      </w:r>
    </w:p>
    <w:p>
      <w:pPr>
        <w:pStyle w:val="ListBullet"/>
      </w:pPr>
      <w:r>
        <w:t>Comparer les calculs à des dossiers étalons vérifiés par des experts métier.</w:t>
      </w:r>
    </w:p>
    <w:p>
      <w:r>
        <w:br w:type="page"/>
      </w:r>
    </w:p>
    <w:p>
      <w:pPr>
        <w:pStyle w:val="Heading1"/>
      </w:pPr>
      <w:r>
        <w:t>9. Validation humaine et génération du CCM</w:t>
      </w:r>
    </w:p>
    <w:p>
      <w:pPr>
        <w:pStyle w:val="Heading2"/>
      </w:pPr>
      <w:r>
        <w:t>9.1 Validation dans App.tsx</w:t>
      </w:r>
    </w:p>
    <w:p>
      <w:r>
        <w:t>L’état humanValidationOverride contient isValidated, evaluatorName, notes et timestamp. handleValidate met à jour cet état et bascule l’onglet actif vers CCM. handleResetValidation remet ces valeurs à zéro. Cette validation est une étape d’interface, pas un service d’approbation avec contrôle d’accès.</w:t>
      </w:r>
    </w:p>
    <w:p>
      <w:pPr>
        <w:pStyle w:val="Heading2"/>
      </w:pPr>
      <w:r>
        <w:t>9.2 Checklist</w:t>
      </w:r>
    </w:p>
    <w:p>
      <w:r>
        <w:t>HumanValidationPanel.tsx affiche quatre contrôles obligatoires, désactive le bouton tant que tous ne sont pas cochés, puis appelle onValidate. Le nom de l’évaluateur et les notes sont saisis localement. Le rôle de l’évaluateur existe dans le composant mais n’est pas transmis par la signature du callback visible.</w:t>
      </w:r>
    </w:p>
    <w:p>
      <w:pPr>
        <w:pStyle w:val="Heading2"/>
      </w:pPr>
      <w:r>
        <w:t>9.3 Canevas CCM</w:t>
      </w:r>
    </w:p>
    <w:p>
      <w:r>
        <w:t>CcmTemplateView.tsx reçoit doc, report et un callback optionnel onUpdateDoc. Les champs éditables observés sont le titulaire, le gérant, le siège et le titre du projet. Les fonctions d’export construisent un objet currentDoc avec ces valeurs puis appellent les générateurs.</w:t>
      </w:r>
    </w:p>
    <w:p>
      <w:pPr>
        <w:pStyle w:val="Heading2"/>
      </w:pPr>
      <w:r>
        <w:t>9.4 Word et PDF</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04A"/>
          </w:tcPr>
          <w:p>
            <w:r/>
            <w:r>
              <w:rPr>
                <w:b/>
                <w:color w:val="FFFFFF"/>
                <w:sz w:val="17"/>
              </w:rPr>
              <w:t>Fichier</w:t>
            </w:r>
          </w:p>
        </w:tc>
        <w:tc>
          <w:tcPr>
            <w:tcW w:type="dxa" w:w="5040"/>
            <w:vAlign w:val="center"/>
            <w:shd w:fill="12304A"/>
          </w:tcPr>
          <w:p>
            <w:r/>
            <w:r>
              <w:rPr>
                <w:b/>
                <w:color w:val="FFFFFF"/>
                <w:sz w:val="17"/>
              </w:rPr>
              <w:t>Fonction</w:t>
            </w:r>
          </w:p>
        </w:tc>
      </w:tr>
      <w:tr>
        <w:tc>
          <w:tcPr>
            <w:tcW w:type="dxa" w:w="5040"/>
            <w:vAlign w:val="center"/>
          </w:tcPr>
          <w:p>
            <w:r/>
            <w:r>
              <w:rPr>
                <w:b w:val="0"/>
                <w:sz w:val="17"/>
              </w:rPr>
              <w:t>src/utils/docxGenerator.ts</w:t>
            </w:r>
          </w:p>
        </w:tc>
        <w:tc>
          <w:tcPr>
            <w:tcW w:type="dxa" w:w="5040"/>
            <w:vAlign w:val="center"/>
          </w:tcPr>
          <w:p>
            <w:r/>
            <w:r>
              <w:rPr>
                <w:b w:val="0"/>
                <w:sz w:val="17"/>
              </w:rPr>
              <w:t>Construit un document Word via la bibliothèque docx et renvoie un Blob.</w:t>
            </w:r>
          </w:p>
        </w:tc>
      </w:tr>
      <w:tr>
        <w:tc>
          <w:tcPr>
            <w:tcW w:type="dxa" w:w="5040"/>
            <w:vAlign w:val="center"/>
            <w:shd w:fill="F1F5F9"/>
          </w:tcPr>
          <w:p>
            <w:r/>
            <w:r>
              <w:rPr>
                <w:b w:val="0"/>
                <w:sz w:val="17"/>
              </w:rPr>
              <w:t>src/utils/pdfGenerator.ts</w:t>
            </w:r>
          </w:p>
        </w:tc>
        <w:tc>
          <w:tcPr>
            <w:tcW w:type="dxa" w:w="5040"/>
            <w:vAlign w:val="center"/>
            <w:shd w:fill="F1F5F9"/>
          </w:tcPr>
          <w:p>
            <w:r/>
            <w:r>
              <w:rPr>
                <w:b w:val="0"/>
                <w:sz w:val="17"/>
              </w:rPr>
              <w:t>Construit un PDF avec jsPDF et jspdf-autotable.</w:t>
            </w:r>
          </w:p>
        </w:tc>
      </w:tr>
      <w:tr>
        <w:tc>
          <w:tcPr>
            <w:tcW w:type="dxa" w:w="5040"/>
            <w:vAlign w:val="center"/>
          </w:tcPr>
          <w:p>
            <w:r/>
            <w:r>
              <w:rPr>
                <w:b w:val="0"/>
                <w:sz w:val="17"/>
              </w:rPr>
              <w:t>CcmTemplateView.tsx</w:t>
            </w:r>
          </w:p>
        </w:tc>
        <w:tc>
          <w:tcPr>
            <w:tcW w:type="dxa" w:w="5040"/>
            <w:vAlign w:val="center"/>
          </w:tcPr>
          <w:p>
            <w:r/>
            <w:r>
              <w:rPr>
                <w:b w:val="0"/>
                <w:sz w:val="17"/>
              </w:rPr>
              <w:t>Déclenche le téléchargement, l’impression et l’édition du canevas.</w:t>
            </w:r>
          </w:p>
        </w:tc>
      </w:tr>
      <w:tr>
        <w:tc>
          <w:tcPr>
            <w:tcW w:type="dxa" w:w="5040"/>
            <w:vAlign w:val="center"/>
            <w:shd w:fill="F1F5F9"/>
          </w:tcPr>
          <w:p>
            <w:r/>
            <w:r>
              <w:rPr>
                <w:b w:val="0"/>
                <w:sz w:val="17"/>
              </w:rPr>
              <w:t>App.tsx</w:t>
            </w:r>
          </w:p>
        </w:tc>
        <w:tc>
          <w:tcPr>
            <w:tcW w:type="dxa" w:w="5040"/>
            <w:vAlign w:val="center"/>
            <w:shd w:fill="F1F5F9"/>
          </w:tcPr>
          <w:p>
            <w:r/>
            <w:r>
              <w:rPr>
                <w:b w:val="0"/>
                <w:sz w:val="17"/>
              </w:rPr>
              <w:t>Propose également des téléchargements globaux depuis la navigation.</w:t>
            </w:r>
          </w:p>
        </w:tc>
      </w:tr>
    </w:tbl>
    <w:p/>
    <w:p>
      <w:r>
        <w:t>Toujours contrôler les documents produits. Le fait qu’un export se télécharge sans erreur ne garantit ni l’exactitude des données, ni l’exhaustivité juridique du document, ni sa conformité à un modèle ministériel mis à jour.</w:t>
      </w:r>
    </w:p>
    <w:p>
      <w:r>
        <w:br w:type="page"/>
      </w:r>
    </w:p>
    <w:p>
      <w:pPr>
        <w:pStyle w:val="Heading1"/>
      </w:pPr>
      <w:r>
        <w:t>10. Référence des fichiers du projet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04A"/>
          </w:tcPr>
          <w:p>
            <w:r/>
            <w:r>
              <w:rPr>
                <w:b/>
                <w:color w:val="FFFFFF"/>
                <w:sz w:val="17"/>
              </w:rPr>
              <w:t>Chemin</w:t>
            </w:r>
          </w:p>
        </w:tc>
        <w:tc>
          <w:tcPr>
            <w:tcW w:type="dxa" w:w="5040"/>
            <w:vAlign w:val="center"/>
            <w:shd w:fill="12304A"/>
          </w:tcPr>
          <w:p>
            <w:r/>
            <w:r>
              <w:rPr>
                <w:b/>
                <w:color w:val="FFFFFF"/>
                <w:sz w:val="17"/>
              </w:rPr>
              <w:t>Responsabilité / lecture utile</w:t>
            </w:r>
          </w:p>
        </w:tc>
      </w:tr>
      <w:tr>
        <w:tc>
          <w:tcPr>
            <w:tcW w:type="dxa" w:w="5040"/>
            <w:vAlign w:val="center"/>
          </w:tcPr>
          <w:p>
            <w:r/>
            <w:r>
              <w:rPr>
                <w:b w:val="0"/>
                <w:sz w:val="17"/>
              </w:rPr>
              <w:t>src/main.tsx</w:t>
            </w:r>
          </w:p>
        </w:tc>
        <w:tc>
          <w:tcPr>
            <w:tcW w:type="dxa" w:w="5040"/>
            <w:vAlign w:val="center"/>
          </w:tcPr>
          <w:p>
            <w:r/>
            <w:r>
              <w:rPr>
                <w:b w:val="0"/>
                <w:sz w:val="17"/>
              </w:rPr>
              <w:t>Point d’entrée React : montage de l’application dans le DOM.</w:t>
            </w:r>
          </w:p>
        </w:tc>
      </w:tr>
      <w:tr>
        <w:tc>
          <w:tcPr>
            <w:tcW w:type="dxa" w:w="5040"/>
            <w:vAlign w:val="center"/>
            <w:shd w:fill="F1F5F9"/>
          </w:tcPr>
          <w:p>
            <w:r/>
            <w:r>
              <w:rPr>
                <w:b w:val="0"/>
                <w:sz w:val="17"/>
              </w:rPr>
              <w:t>src/App.tsx</w:t>
            </w:r>
          </w:p>
        </w:tc>
        <w:tc>
          <w:tcPr>
            <w:tcW w:type="dxa" w:w="5040"/>
            <w:vAlign w:val="center"/>
            <w:shd w:fill="F1F5F9"/>
          </w:tcPr>
          <w:p>
            <w:r/>
            <w:r>
              <w:rPr>
                <w:b w:val="0"/>
                <w:sz w:val="17"/>
              </w:rPr>
              <w:t>État principal, navigation, calcul du rapport, validation, reset des exemples et téléchargements globaux.</w:t>
            </w:r>
          </w:p>
        </w:tc>
      </w:tr>
      <w:tr>
        <w:tc>
          <w:tcPr>
            <w:tcW w:type="dxa" w:w="5040"/>
            <w:vAlign w:val="center"/>
          </w:tcPr>
          <w:p>
            <w:r/>
            <w:r>
              <w:rPr>
                <w:b w:val="0"/>
                <w:sz w:val="17"/>
              </w:rPr>
              <w:t>src/index.css</w:t>
            </w:r>
          </w:p>
        </w:tc>
        <w:tc>
          <w:tcPr>
            <w:tcW w:type="dxa" w:w="5040"/>
            <w:vAlign w:val="center"/>
          </w:tcPr>
          <w:p>
            <w:r/>
            <w:r>
              <w:rPr>
                <w:b w:val="0"/>
                <w:sz w:val="17"/>
              </w:rPr>
              <w:t>Styles globaux et directives/styles Tailwind.</w:t>
            </w:r>
          </w:p>
        </w:tc>
      </w:tr>
      <w:tr>
        <w:tc>
          <w:tcPr>
            <w:tcW w:type="dxa" w:w="5040"/>
            <w:vAlign w:val="center"/>
            <w:shd w:fill="F1F5F9"/>
          </w:tcPr>
          <w:p>
            <w:r/>
            <w:r>
              <w:rPr>
                <w:b w:val="0"/>
                <w:sz w:val="17"/>
              </w:rPr>
              <w:t>src/types/mining.ts</w:t>
            </w:r>
          </w:p>
        </w:tc>
        <w:tc>
          <w:tcPr>
            <w:tcW w:type="dxa" w:w="5040"/>
            <w:vAlign w:val="center"/>
            <w:shd w:fill="F1F5F9"/>
          </w:tcPr>
          <w:p>
            <w:r/>
            <w:r>
              <w:rPr>
                <w:b w:val="0"/>
                <w:sz w:val="17"/>
              </w:rPr>
              <w:t>Interfaces de données, résultats d’évaluation et rapport.</w:t>
            </w:r>
          </w:p>
        </w:tc>
      </w:tr>
      <w:tr>
        <w:tc>
          <w:tcPr>
            <w:tcW w:type="dxa" w:w="5040"/>
            <w:vAlign w:val="center"/>
          </w:tcPr>
          <w:p>
            <w:r/>
            <w:r>
              <w:rPr>
                <w:b w:val="0"/>
                <w:sz w:val="17"/>
              </w:rPr>
              <w:t>src/data/sampleDossier.ts</w:t>
            </w:r>
          </w:p>
        </w:tc>
        <w:tc>
          <w:tcPr>
            <w:tcW w:type="dxa" w:w="5040"/>
            <w:vAlign w:val="center"/>
          </w:tcPr>
          <w:p>
            <w:r/>
            <w:r>
              <w:rPr>
                <w:b w:val="0"/>
                <w:sz w:val="17"/>
              </w:rPr>
              <w:t>Dossiers d’exemple utilisés au démarrage et pour les tests manuels.</w:t>
            </w:r>
          </w:p>
        </w:tc>
      </w:tr>
      <w:tr>
        <w:tc>
          <w:tcPr>
            <w:tcW w:type="dxa" w:w="5040"/>
            <w:vAlign w:val="center"/>
            <w:shd w:fill="F1F5F9"/>
          </w:tcPr>
          <w:p>
            <w:r/>
            <w:r>
              <w:rPr>
                <w:b w:val="0"/>
                <w:sz w:val="17"/>
              </w:rPr>
              <w:t>src/utils/pdfParser.ts</w:t>
            </w:r>
          </w:p>
        </w:tc>
        <w:tc>
          <w:tcPr>
            <w:tcW w:type="dxa" w:w="5040"/>
            <w:vAlign w:val="center"/>
            <w:shd w:fill="F1F5F9"/>
          </w:tcPr>
          <w:p>
            <w:r/>
            <w:r>
              <w:rPr>
                <w:b w:val="0"/>
                <w:sz w:val="17"/>
              </w:rPr>
              <w:t>Lecture textuelle PDF, appel API, conversion de l’extraction en modèle et heuristiques.</w:t>
            </w:r>
          </w:p>
        </w:tc>
      </w:tr>
      <w:tr>
        <w:tc>
          <w:tcPr>
            <w:tcW w:type="dxa" w:w="5040"/>
            <w:vAlign w:val="center"/>
          </w:tcPr>
          <w:p>
            <w:r/>
            <w:r>
              <w:rPr>
                <w:b w:val="0"/>
                <w:sz w:val="17"/>
              </w:rPr>
              <w:t>src/utils/evaluationEngine.ts</w:t>
            </w:r>
          </w:p>
        </w:tc>
        <w:tc>
          <w:tcPr>
            <w:tcW w:type="dxa" w:w="5040"/>
            <w:vAlign w:val="center"/>
          </w:tcPr>
          <w:p>
            <w:r/>
            <w:r>
              <w:rPr>
                <w:b w:val="0"/>
                <w:sz w:val="17"/>
              </w:rPr>
              <w:t>Règles financières, statuts, scores et constats.</w:t>
            </w:r>
          </w:p>
        </w:tc>
      </w:tr>
      <w:tr>
        <w:tc>
          <w:tcPr>
            <w:tcW w:type="dxa" w:w="5040"/>
            <w:vAlign w:val="center"/>
            <w:shd w:fill="F1F5F9"/>
          </w:tcPr>
          <w:p>
            <w:r/>
            <w:r>
              <w:rPr>
                <w:b w:val="0"/>
                <w:sz w:val="17"/>
              </w:rPr>
              <w:t>src/utils/docxGenerator.ts</w:t>
            </w:r>
          </w:p>
        </w:tc>
        <w:tc>
          <w:tcPr>
            <w:tcW w:type="dxa" w:w="5040"/>
            <w:vAlign w:val="center"/>
            <w:shd w:fill="F1F5F9"/>
          </w:tcPr>
          <w:p>
            <w:r/>
            <w:r>
              <w:rPr>
                <w:b w:val="0"/>
                <w:sz w:val="17"/>
              </w:rPr>
              <w:t>Génération du document Word CCM.</w:t>
            </w:r>
          </w:p>
        </w:tc>
      </w:tr>
      <w:tr>
        <w:tc>
          <w:tcPr>
            <w:tcW w:type="dxa" w:w="5040"/>
            <w:vAlign w:val="center"/>
          </w:tcPr>
          <w:p>
            <w:r/>
            <w:r>
              <w:rPr>
                <w:b w:val="0"/>
                <w:sz w:val="17"/>
              </w:rPr>
              <w:t>src/utils/pdfGenerator.ts</w:t>
            </w:r>
          </w:p>
        </w:tc>
        <w:tc>
          <w:tcPr>
            <w:tcW w:type="dxa" w:w="5040"/>
            <w:vAlign w:val="center"/>
          </w:tcPr>
          <w:p>
            <w:r/>
            <w:r>
              <w:rPr>
                <w:b w:val="0"/>
                <w:sz w:val="17"/>
              </w:rPr>
              <w:t>Génération du PDF CCM.</w:t>
            </w:r>
          </w:p>
        </w:tc>
      </w:tr>
      <w:tr>
        <w:tc>
          <w:tcPr>
            <w:tcW w:type="dxa" w:w="5040"/>
            <w:vAlign w:val="center"/>
            <w:shd w:fill="F1F5F9"/>
          </w:tcPr>
          <w:p>
            <w:r/>
            <w:r>
              <w:rPr>
                <w:b w:val="0"/>
                <w:sz w:val="17"/>
              </w:rPr>
              <w:t>src/components/DocumentUploadSection.tsx</w:t>
            </w:r>
          </w:p>
        </w:tc>
        <w:tc>
          <w:tcPr>
            <w:tcW w:type="dxa" w:w="5040"/>
            <w:vAlign w:val="center"/>
            <w:shd w:fill="F1F5F9"/>
          </w:tcPr>
          <w:p>
            <w:r/>
            <w:r>
              <w:rPr>
                <w:b w:val="0"/>
                <w:sz w:val="17"/>
              </w:rPr>
              <w:t>Interface d’importation, choix du fichier et affichage/édition des données extraites.</w:t>
            </w:r>
          </w:p>
        </w:tc>
      </w:tr>
      <w:tr>
        <w:tc>
          <w:tcPr>
            <w:tcW w:type="dxa" w:w="5040"/>
            <w:vAlign w:val="center"/>
          </w:tcPr>
          <w:p>
            <w:r/>
            <w:r>
              <w:rPr>
                <w:b w:val="0"/>
                <w:sz w:val="17"/>
              </w:rPr>
              <w:t>src/components/EvaluationSection.tsx</w:t>
            </w:r>
          </w:p>
        </w:tc>
        <w:tc>
          <w:tcPr>
            <w:tcW w:type="dxa" w:w="5040"/>
            <w:vAlign w:val="center"/>
          </w:tcPr>
          <w:p>
            <w:r/>
            <w:r>
              <w:rPr>
                <w:b w:val="0"/>
                <w:sz w:val="17"/>
              </w:rPr>
              <w:t>Présentation du rapport et des résultats d’évaluation.</w:t>
            </w:r>
          </w:p>
        </w:tc>
      </w:tr>
      <w:tr>
        <w:tc>
          <w:tcPr>
            <w:tcW w:type="dxa" w:w="5040"/>
            <w:vAlign w:val="center"/>
            <w:shd w:fill="F1F5F9"/>
          </w:tcPr>
          <w:p>
            <w:r/>
            <w:r>
              <w:rPr>
                <w:b w:val="0"/>
                <w:sz w:val="17"/>
              </w:rPr>
              <w:t>src/components/HumanValidationPanel.tsx</w:t>
            </w:r>
          </w:p>
        </w:tc>
        <w:tc>
          <w:tcPr>
            <w:tcW w:type="dxa" w:w="5040"/>
            <w:vAlign w:val="center"/>
            <w:shd w:fill="F1F5F9"/>
          </w:tcPr>
          <w:p>
            <w:r/>
            <w:r>
              <w:rPr>
                <w:b w:val="0"/>
                <w:sz w:val="17"/>
              </w:rPr>
              <w:t>Checklist et validation humaine.</w:t>
            </w:r>
          </w:p>
        </w:tc>
      </w:tr>
      <w:tr>
        <w:tc>
          <w:tcPr>
            <w:tcW w:type="dxa" w:w="5040"/>
            <w:vAlign w:val="center"/>
          </w:tcPr>
          <w:p>
            <w:r/>
            <w:r>
              <w:rPr>
                <w:b w:val="0"/>
                <w:sz w:val="17"/>
              </w:rPr>
              <w:t>src/components/CcmTemplateView.tsx</w:t>
            </w:r>
          </w:p>
        </w:tc>
        <w:tc>
          <w:tcPr>
            <w:tcW w:type="dxa" w:w="5040"/>
            <w:vAlign w:val="center"/>
          </w:tcPr>
          <w:p>
            <w:r/>
            <w:r>
              <w:rPr>
                <w:b w:val="0"/>
                <w:sz w:val="17"/>
              </w:rPr>
              <w:t>Aperçu, édition limitée, impression et exports du CCM.</w:t>
            </w:r>
          </w:p>
        </w:tc>
      </w:tr>
      <w:tr>
        <w:tc>
          <w:tcPr>
            <w:tcW w:type="dxa" w:w="5040"/>
            <w:vAlign w:val="center"/>
            <w:shd w:fill="F1F5F9"/>
          </w:tcPr>
          <w:p>
            <w:r/>
            <w:r>
              <w:rPr>
                <w:b w:val="0"/>
                <w:sz w:val="17"/>
              </w:rPr>
              <w:t>src/components/AdjustedTablesExcelView.tsx</w:t>
            </w:r>
          </w:p>
        </w:tc>
        <w:tc>
          <w:tcPr>
            <w:tcW w:type="dxa" w:w="5040"/>
            <w:vAlign w:val="center"/>
            <w:shd w:fill="F1F5F9"/>
          </w:tcPr>
          <w:p>
            <w:r/>
            <w:r>
              <w:rPr>
                <w:b w:val="0"/>
                <w:sz w:val="17"/>
              </w:rPr>
              <w:t>Affichage, copie et téléchargement TSV des tableaux ajustés.</w:t>
            </w:r>
          </w:p>
        </w:tc>
      </w:tr>
      <w:tr>
        <w:tc>
          <w:tcPr>
            <w:tcW w:type="dxa" w:w="5040"/>
            <w:vAlign w:val="center"/>
          </w:tcPr>
          <w:p>
            <w:r/>
            <w:r>
              <w:rPr>
                <w:b w:val="0"/>
                <w:sz w:val="17"/>
              </w:rPr>
              <w:t>src/components/Navbar.tsx</w:t>
            </w:r>
          </w:p>
        </w:tc>
        <w:tc>
          <w:tcPr>
            <w:tcW w:type="dxa" w:w="5040"/>
            <w:vAlign w:val="center"/>
          </w:tcPr>
          <w:p>
            <w:r/>
            <w:r>
              <w:rPr>
                <w:b w:val="0"/>
                <w:sz w:val="17"/>
              </w:rPr>
              <w:t>Navigation entre les sections et actions globales de téléchargement.</w:t>
            </w:r>
          </w:p>
        </w:tc>
      </w:tr>
      <w:tr>
        <w:tc>
          <w:tcPr>
            <w:tcW w:type="dxa" w:w="5040"/>
            <w:vAlign w:val="center"/>
            <w:shd w:fill="F1F5F9"/>
          </w:tcPr>
          <w:p>
            <w:r/>
            <w:r>
              <w:rPr>
                <w:b w:val="0"/>
                <w:sz w:val="17"/>
              </w:rPr>
              <w:t>server.ts</w:t>
            </w:r>
          </w:p>
        </w:tc>
        <w:tc>
          <w:tcPr>
            <w:tcW w:type="dxa" w:w="5040"/>
            <w:vAlign w:val="center"/>
            <w:shd w:fill="F1F5F9"/>
          </w:tcPr>
          <w:p>
            <w:r/>
            <w:r>
              <w:rPr>
                <w:b w:val="0"/>
                <w:sz w:val="17"/>
              </w:rPr>
              <w:t>Express, configuration Gemini, route d’extraction, intégration Vite et service de dist en production.</w:t>
            </w:r>
          </w:p>
        </w:tc>
      </w:tr>
      <w:tr>
        <w:tc>
          <w:tcPr>
            <w:tcW w:type="dxa" w:w="5040"/>
            <w:vAlign w:val="center"/>
          </w:tcPr>
          <w:p>
            <w:r/>
            <w:r>
              <w:rPr>
                <w:b w:val="0"/>
                <w:sz w:val="17"/>
              </w:rPr>
              <w:t>package.json</w:t>
            </w:r>
          </w:p>
        </w:tc>
        <w:tc>
          <w:tcPr>
            <w:tcW w:type="dxa" w:w="5040"/>
            <w:vAlign w:val="center"/>
          </w:tcPr>
          <w:p>
            <w:r/>
            <w:r>
              <w:rPr>
                <w:b w:val="0"/>
                <w:sz w:val="17"/>
              </w:rPr>
              <w:t>Dépendances et scripts de travail.</w:t>
            </w:r>
          </w:p>
        </w:tc>
      </w:tr>
      <w:tr>
        <w:tc>
          <w:tcPr>
            <w:tcW w:type="dxa" w:w="5040"/>
            <w:vAlign w:val="center"/>
            <w:shd w:fill="F1F5F9"/>
          </w:tcPr>
          <w:p>
            <w:r/>
            <w:r>
              <w:rPr>
                <w:b w:val="0"/>
                <w:sz w:val="17"/>
              </w:rPr>
              <w:t>.env.example</w:t>
            </w:r>
          </w:p>
        </w:tc>
        <w:tc>
          <w:tcPr>
            <w:tcW w:type="dxa" w:w="5040"/>
            <w:vAlign w:val="center"/>
            <w:shd w:fill="F1F5F9"/>
          </w:tcPr>
          <w:p>
            <w:r/>
            <w:r>
              <w:rPr>
                <w:b w:val="0"/>
                <w:sz w:val="17"/>
              </w:rPr>
              <w:t>Exemple de variables d’environnement ; ne contient pas de clé valide.</w:t>
            </w:r>
          </w:p>
        </w:tc>
      </w:tr>
      <w:tr>
        <w:tc>
          <w:tcPr>
            <w:tcW w:type="dxa" w:w="5040"/>
            <w:vAlign w:val="center"/>
          </w:tcPr>
          <w:p>
            <w:r/>
            <w:r>
              <w:rPr>
                <w:b w:val="0"/>
                <w:sz w:val="17"/>
              </w:rPr>
              <w:t>vite.config.ts / tsconfig.json</w:t>
            </w:r>
          </w:p>
        </w:tc>
        <w:tc>
          <w:tcPr>
            <w:tcW w:type="dxa" w:w="5040"/>
            <w:vAlign w:val="center"/>
          </w:tcPr>
          <w:p>
            <w:r/>
            <w:r>
              <w:rPr>
                <w:b w:val="0"/>
                <w:sz w:val="17"/>
              </w:rPr>
              <w:t>Configuration de Vite et du compilateur TypeScript.</w:t>
            </w:r>
          </w:p>
        </w:tc>
      </w:tr>
      <w:tr>
        <w:tc>
          <w:tcPr>
            <w:tcW w:type="dxa" w:w="5040"/>
            <w:vAlign w:val="center"/>
            <w:shd w:fill="F1F5F9"/>
          </w:tcPr>
          <w:p>
            <w:r/>
            <w:r>
              <w:rPr>
                <w:b w:val="0"/>
                <w:sz w:val="17"/>
              </w:rPr>
              <w:t>index.html</w:t>
            </w:r>
          </w:p>
        </w:tc>
        <w:tc>
          <w:tcPr>
            <w:tcW w:type="dxa" w:w="5040"/>
            <w:vAlign w:val="center"/>
            <w:shd w:fill="F1F5F9"/>
          </w:tcPr>
          <w:p>
            <w:r/>
            <w:r>
              <w:rPr>
                <w:b w:val="0"/>
                <w:sz w:val="17"/>
              </w:rPr>
              <w:t>Document HTML hôte de la SPA.</w:t>
            </w:r>
          </w:p>
        </w:tc>
      </w:tr>
      <w:tr>
        <w:tc>
          <w:tcPr>
            <w:tcW w:type="dxa" w:w="5040"/>
            <w:vAlign w:val="center"/>
          </w:tcPr>
          <w:p>
            <w:r/>
            <w:r>
              <w:rPr>
                <w:b w:val="0"/>
                <w:sz w:val="17"/>
              </w:rPr>
              <w:t>README.md</w:t>
            </w:r>
          </w:p>
        </w:tc>
        <w:tc>
          <w:tcPr>
            <w:tcW w:type="dxa" w:w="5040"/>
            <w:vAlign w:val="center"/>
          </w:tcPr>
          <w:p>
            <w:r/>
            <w:r>
              <w:rPr>
                <w:b w:val="0"/>
                <w:sz w:val="17"/>
              </w:rPr>
              <w:t>Instructions d’exécution initiales, à compléter avec la présente documentation.</w:t>
            </w:r>
          </w:p>
        </w:tc>
      </w:tr>
    </w:tbl>
    <w:p/>
    <w:p>
      <w:pPr>
        <w:pStyle w:val="Heading2"/>
      </w:pPr>
      <w:r>
        <w:t>10.1 Ordre conseillé pour comprendre le code</w:t>
      </w:r>
    </w:p>
    <w:p>
      <w:pPr>
        <w:pStyle w:val="ListNumber"/>
      </w:pPr>
      <w:r>
        <w:t>Commencer par src/types/mining.ts pour comprendre les structures.</w:t>
      </w:r>
    </w:p>
    <w:p>
      <w:pPr>
        <w:pStyle w:val="ListNumber"/>
      </w:pPr>
      <w:r>
        <w:t>Lire src/App.tsx pour suivre l’état et le parcours utilisateur.</w:t>
      </w:r>
    </w:p>
    <w:p>
      <w:pPr>
        <w:pStyle w:val="ListNumber"/>
      </w:pPr>
      <w:r>
        <w:t>Lire src/utils/evaluationEngine.ts pour les règles métier.</w:t>
      </w:r>
    </w:p>
    <w:p>
      <w:pPr>
        <w:pStyle w:val="ListNumber"/>
      </w:pPr>
      <w:r>
        <w:t>Lire src/utils/pdfParser.ts et server.ts pour l’importation.</w:t>
      </w:r>
    </w:p>
    <w:p>
      <w:pPr>
        <w:pStyle w:val="ListNumber"/>
      </w:pPr>
      <w:r>
        <w:t>Lire les composants UI pour comprendre les formulaires et interactions.</w:t>
      </w:r>
    </w:p>
    <w:p>
      <w:pPr>
        <w:pStyle w:val="ListNumber"/>
      </w:pPr>
      <w:r>
        <w:t>Terminer par docxGenerator.ts et pdfGenerator.ts pour les formats de sortie.</w:t>
      </w:r>
    </w:p>
    <w:p>
      <w:r>
        <w:br w:type="page"/>
      </w:r>
    </w:p>
    <w:p>
      <w:pPr>
        <w:pStyle w:val="Heading1"/>
      </w:pPr>
      <w:r>
        <w:t>11. API, configuration et déploiement</w:t>
      </w:r>
    </w:p>
    <w:p>
      <w:pPr>
        <w:pStyle w:val="Heading2"/>
      </w:pPr>
      <w:r>
        <w:t>11.1 Route d’extraction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04A"/>
          </w:tcPr>
          <w:p>
            <w:r/>
            <w:r>
              <w:rPr>
                <w:b/>
                <w:color w:val="FFFFFF"/>
                <w:sz w:val="17"/>
              </w:rPr>
              <w:t>Élément</w:t>
            </w:r>
          </w:p>
        </w:tc>
        <w:tc>
          <w:tcPr>
            <w:tcW w:type="dxa" w:w="5040"/>
            <w:vAlign w:val="center"/>
            <w:shd w:fill="12304A"/>
          </w:tcPr>
          <w:p>
            <w:r/>
            <w:r>
              <w:rPr>
                <w:b/>
                <w:color w:val="FFFFFF"/>
                <w:sz w:val="17"/>
              </w:rPr>
              <w:t>Valeur</w:t>
            </w:r>
          </w:p>
        </w:tc>
      </w:tr>
      <w:tr>
        <w:tc>
          <w:tcPr>
            <w:tcW w:type="dxa" w:w="5040"/>
            <w:vAlign w:val="center"/>
          </w:tcPr>
          <w:p>
            <w:r/>
            <w:r>
              <w:rPr>
                <w:b w:val="0"/>
                <w:sz w:val="17"/>
              </w:rPr>
              <w:t>Méthode</w:t>
            </w:r>
          </w:p>
        </w:tc>
        <w:tc>
          <w:tcPr>
            <w:tcW w:type="dxa" w:w="5040"/>
            <w:vAlign w:val="center"/>
          </w:tcPr>
          <w:p>
            <w:r/>
            <w:r>
              <w:rPr>
                <w:b w:val="0"/>
                <w:sz w:val="17"/>
              </w:rPr>
              <w:t>POST</w:t>
            </w:r>
          </w:p>
        </w:tc>
      </w:tr>
      <w:tr>
        <w:tc>
          <w:tcPr>
            <w:tcW w:type="dxa" w:w="5040"/>
            <w:vAlign w:val="center"/>
            <w:shd w:fill="F1F5F9"/>
          </w:tcPr>
          <w:p>
            <w:r/>
            <w:r>
              <w:rPr>
                <w:b w:val="0"/>
                <w:sz w:val="17"/>
              </w:rPr>
              <w:t>Chemin</w:t>
            </w:r>
          </w:p>
        </w:tc>
        <w:tc>
          <w:tcPr>
            <w:tcW w:type="dxa" w:w="5040"/>
            <w:vAlign w:val="center"/>
            <w:shd w:fill="F1F5F9"/>
          </w:tcPr>
          <w:p>
            <w:r/>
            <w:r>
              <w:rPr>
                <w:b w:val="0"/>
                <w:sz w:val="17"/>
              </w:rPr>
              <w:t>/api/extract-ptpf</w:t>
            </w:r>
          </w:p>
        </w:tc>
      </w:tr>
      <w:tr>
        <w:tc>
          <w:tcPr>
            <w:tcW w:type="dxa" w:w="5040"/>
            <w:vAlign w:val="center"/>
          </w:tcPr>
          <w:p>
            <w:r/>
            <w:r>
              <w:rPr>
                <w:b w:val="0"/>
                <w:sz w:val="17"/>
              </w:rPr>
              <w:t>Entrée</w:t>
            </w:r>
          </w:p>
        </w:tc>
        <w:tc>
          <w:tcPr>
            <w:tcW w:type="dxa" w:w="5040"/>
            <w:vAlign w:val="center"/>
          </w:tcPr>
          <w:p>
            <w:r/>
            <w:r>
              <w:rPr>
                <w:b w:val="0"/>
                <w:sz w:val="17"/>
              </w:rPr>
              <w:t>JSON : rawText (chaîne obligatoire)</w:t>
            </w:r>
          </w:p>
        </w:tc>
      </w:tr>
      <w:tr>
        <w:tc>
          <w:tcPr>
            <w:tcW w:type="dxa" w:w="5040"/>
            <w:vAlign w:val="center"/>
            <w:shd w:fill="F1F5F9"/>
          </w:tcPr>
          <w:p>
            <w:r/>
            <w:r>
              <w:rPr>
                <w:b w:val="0"/>
                <w:sz w:val="17"/>
              </w:rPr>
              <w:t>Succès</w:t>
            </w:r>
          </w:p>
        </w:tc>
        <w:tc>
          <w:tcPr>
            <w:tcW w:type="dxa" w:w="5040"/>
            <w:vAlign w:val="center"/>
            <w:shd w:fill="F1F5F9"/>
          </w:tcPr>
          <w:p>
            <w:r/>
            <w:r>
              <w:rPr>
                <w:b w:val="0"/>
                <w:sz w:val="17"/>
              </w:rPr>
              <w:t>success:true et data contenant les champs extraits</w:t>
            </w:r>
          </w:p>
        </w:tc>
      </w:tr>
      <w:tr>
        <w:tc>
          <w:tcPr>
            <w:tcW w:type="dxa" w:w="5040"/>
            <w:vAlign w:val="center"/>
          </w:tcPr>
          <w:p>
            <w:r/>
            <w:r>
              <w:rPr>
                <w:b w:val="0"/>
                <w:sz w:val="17"/>
              </w:rPr>
              <w:t>Fallback clé absente</w:t>
            </w:r>
          </w:p>
        </w:tc>
        <w:tc>
          <w:tcPr>
            <w:tcW w:type="dxa" w:w="5040"/>
            <w:vAlign w:val="center"/>
          </w:tcPr>
          <w:p>
            <w:r/>
            <w:r>
              <w:rPr>
                <w:b w:val="0"/>
                <w:sz w:val="17"/>
              </w:rPr>
              <w:t>HTTP 200, success:false, fallback:true et message</w:t>
            </w:r>
          </w:p>
        </w:tc>
      </w:tr>
      <w:tr>
        <w:tc>
          <w:tcPr>
            <w:tcW w:type="dxa" w:w="5040"/>
            <w:vAlign w:val="center"/>
            <w:shd w:fill="F1F5F9"/>
          </w:tcPr>
          <w:p>
            <w:r/>
            <w:r>
              <w:rPr>
                <w:b w:val="0"/>
                <w:sz w:val="17"/>
              </w:rPr>
              <w:t>Erreur d’entrée</w:t>
            </w:r>
          </w:p>
        </w:tc>
        <w:tc>
          <w:tcPr>
            <w:tcW w:type="dxa" w:w="5040"/>
            <w:vAlign w:val="center"/>
            <w:shd w:fill="F1F5F9"/>
          </w:tcPr>
          <w:p>
            <w:r/>
            <w:r>
              <w:rPr>
                <w:b w:val="0"/>
                <w:sz w:val="17"/>
              </w:rPr>
              <w:t>HTTP 400</w:t>
            </w:r>
          </w:p>
        </w:tc>
      </w:tr>
      <w:tr>
        <w:tc>
          <w:tcPr>
            <w:tcW w:type="dxa" w:w="5040"/>
            <w:vAlign w:val="center"/>
          </w:tcPr>
          <w:p>
            <w:r/>
            <w:r>
              <w:rPr>
                <w:b w:val="0"/>
                <w:sz w:val="17"/>
              </w:rPr>
              <w:t>Erreur serveur</w:t>
            </w:r>
          </w:p>
        </w:tc>
        <w:tc>
          <w:tcPr>
            <w:tcW w:type="dxa" w:w="5040"/>
            <w:vAlign w:val="center"/>
          </w:tcPr>
          <w:p>
            <w:r/>
            <w:r>
              <w:rPr>
                <w:b w:val="0"/>
                <w:sz w:val="17"/>
              </w:rPr>
              <w:t>HTTP 500 avec message d’erreur</w:t>
            </w:r>
          </w:p>
        </w:tc>
      </w:tr>
    </w:tbl>
    <w:p/>
    <w:p>
      <w:pPr>
        <w:pStyle w:val="Heading2"/>
      </w:pPr>
      <w:r>
        <w:t>11.2 Développement vs production</w:t>
      </w:r>
    </w:p>
    <w:p>
      <w:r>
        <w:t>En développement, startServer importe createServer depuis Vite avec middlewareMode et appType spa. En production, Express sert le répertoire dist et renvoie dist/index.html pour les routes SPA. Il faut donc exécuter npm run build avant de démarrer en production.</w:t>
      </w:r>
    </w:p>
    <w:p>
      <w:pPr>
        <w:pStyle w:val="Heading2"/>
      </w:pPr>
      <w:r>
        <w:t>11.3 Déploiement</w:t>
      </w:r>
    </w:p>
    <w:p>
      <w:pPr>
        <w:pStyle w:val="ListBullet"/>
      </w:pPr>
      <w:r>
        <w:t>Définir NODE_ENV=production et PORT selon la plateforme.</w:t>
      </w:r>
    </w:p>
    <w:p>
      <w:pPr>
        <w:pStyle w:val="ListBullet"/>
      </w:pPr>
      <w:r>
        <w:t>Installer les dépendances de production et construire le frontend.</w:t>
      </w:r>
    </w:p>
    <w:p>
      <w:pPr>
        <w:pStyle w:val="ListBullet"/>
      </w:pPr>
      <w:r>
        <w:t>Conserver GEMINI_API_KEY uniquement dans les variables secrètes du serveur.</w:t>
      </w:r>
    </w:p>
    <w:p>
      <w:pPr>
        <w:pStyle w:val="ListBullet"/>
      </w:pPr>
      <w:r>
        <w:t>Vérifier que l’hébergeur autorise un processus Node/Express persistant ; un hébergement statique seul ne peut pas exécuter server.ts.</w:t>
      </w:r>
    </w:p>
    <w:p>
      <w:pPr>
        <w:pStyle w:val="ListBullet"/>
      </w:pPr>
      <w:r>
        <w:t>Configurer HTTPS, limites de requête, journalisation sans données sensibles et surveillance des erreurs.</w:t>
      </w:r>
    </w:p>
    <w:p>
      <w:pPr>
        <w:pStyle w:val="ListBullet"/>
      </w:pPr>
      <w:r>
        <w:t>Tester la route API depuis le domaine de production et vérifier les chemins statiques.</w:t>
      </w:r>
    </w:p>
    <w:p>
      <w:r>
        <w:t>Le dépôt ne décrit pas un pipeline de déploiement complet ni un stockage durable. Les détails doivent être adaptés à l’hébergeur effectivement retenu.</w:t>
      </w:r>
    </w:p>
    <w:p>
      <w:r>
        <w:br w:type="page"/>
      </w:r>
    </w:p>
    <w:p>
      <w:pPr>
        <w:pStyle w:val="Heading1"/>
      </w:pPr>
      <w:r>
        <w:t>12. Tests, dépannage et sécurité</w:t>
      </w:r>
    </w:p>
    <w:p>
      <w:pPr>
        <w:pStyle w:val="Heading2"/>
      </w:pPr>
      <w:r>
        <w:t>12.1 Scénarios de test minimum</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04A"/>
          </w:tcPr>
          <w:p>
            <w:r/>
            <w:r>
              <w:rPr>
                <w:b/>
                <w:color w:val="FFFFFF"/>
                <w:sz w:val="17"/>
              </w:rPr>
              <w:t>Scénario</w:t>
            </w:r>
          </w:p>
        </w:tc>
        <w:tc>
          <w:tcPr>
            <w:tcW w:type="dxa" w:w="5040"/>
            <w:vAlign w:val="center"/>
            <w:shd w:fill="12304A"/>
          </w:tcPr>
          <w:p>
            <w:r/>
            <w:r>
              <w:rPr>
                <w:b/>
                <w:color w:val="FFFFFF"/>
                <w:sz w:val="17"/>
              </w:rPr>
              <w:t>Résultat attendu à vérifier</w:t>
            </w:r>
          </w:p>
        </w:tc>
      </w:tr>
      <w:tr>
        <w:tc>
          <w:tcPr>
            <w:tcW w:type="dxa" w:w="5040"/>
            <w:vAlign w:val="center"/>
          </w:tcPr>
          <w:p>
            <w:r/>
            <w:r>
              <w:rPr>
                <w:b w:val="0"/>
                <w:sz w:val="17"/>
              </w:rPr>
              <w:t>Dossier exemple 37255</w:t>
            </w:r>
          </w:p>
        </w:tc>
        <w:tc>
          <w:tcPr>
            <w:tcW w:type="dxa" w:w="5040"/>
            <w:vAlign w:val="center"/>
          </w:tcPr>
          <w:p>
            <w:r/>
            <w:r>
              <w:rPr>
                <w:b w:val="0"/>
                <w:sz w:val="17"/>
              </w:rPr>
              <w:t>Application affichée, calculs reproductibles, champs cohérents.</w:t>
            </w:r>
          </w:p>
        </w:tc>
      </w:tr>
      <w:tr>
        <w:tc>
          <w:tcPr>
            <w:tcW w:type="dxa" w:w="5040"/>
            <w:vAlign w:val="center"/>
            <w:shd w:fill="F1F5F9"/>
          </w:tcPr>
          <w:p>
            <w:r/>
            <w:r>
              <w:rPr>
                <w:b w:val="0"/>
                <w:sz w:val="17"/>
              </w:rPr>
              <w:t>Dossier exemple 41280</w:t>
            </w:r>
          </w:p>
        </w:tc>
        <w:tc>
          <w:tcPr>
            <w:tcW w:type="dxa" w:w="5040"/>
            <w:vAlign w:val="center"/>
            <w:shd w:fill="F1F5F9"/>
          </w:tcPr>
          <w:p>
            <w:r/>
            <w:r>
              <w:rPr>
                <w:b w:val="0"/>
                <w:sz w:val="17"/>
              </w:rPr>
              <w:t>Le changement d’exemple remplace bien toutes les données et réinitialise la validation.</w:t>
            </w:r>
          </w:p>
        </w:tc>
      </w:tr>
      <w:tr>
        <w:tc>
          <w:tcPr>
            <w:tcW w:type="dxa" w:w="5040"/>
            <w:vAlign w:val="center"/>
          </w:tcPr>
          <w:p>
            <w:r/>
            <w:r>
              <w:rPr>
                <w:b w:val="0"/>
                <w:sz w:val="17"/>
              </w:rPr>
              <w:t>PDF avec texte sélectionnable</w:t>
            </w:r>
          </w:p>
        </w:tc>
        <w:tc>
          <w:tcPr>
            <w:tcW w:type="dxa" w:w="5040"/>
            <w:vAlign w:val="center"/>
          </w:tcPr>
          <w:p>
            <w:r/>
            <w:r>
              <w:rPr>
                <w:b w:val="0"/>
                <w:sz w:val="17"/>
              </w:rPr>
              <w:t>Le nombre de pages et le texte sont extraits ; les champs détectés sont plausibles.</w:t>
            </w:r>
          </w:p>
        </w:tc>
      </w:tr>
      <w:tr>
        <w:tc>
          <w:tcPr>
            <w:tcW w:type="dxa" w:w="5040"/>
            <w:vAlign w:val="center"/>
            <w:shd w:fill="F1F5F9"/>
          </w:tcPr>
          <w:p>
            <w:r/>
            <w:r>
              <w:rPr>
                <w:b w:val="0"/>
                <w:sz w:val="17"/>
              </w:rPr>
              <w:t>PDF scanné image seule</w:t>
            </w:r>
          </w:p>
        </w:tc>
        <w:tc>
          <w:tcPr>
            <w:tcW w:type="dxa" w:w="5040"/>
            <w:vAlign w:val="center"/>
            <w:shd w:fill="F1F5F9"/>
          </w:tcPr>
          <w:p>
            <w:r/>
            <w:r>
              <w:rPr>
                <w:b w:val="0"/>
                <w:sz w:val="17"/>
              </w:rPr>
              <w:t>Extraction potentiellement vide ; l’utilisateur est averti et utilise une voie OCR externe si nécessaire.</w:t>
            </w:r>
          </w:p>
        </w:tc>
      </w:tr>
      <w:tr>
        <w:tc>
          <w:tcPr>
            <w:tcW w:type="dxa" w:w="5040"/>
            <w:vAlign w:val="center"/>
          </w:tcPr>
          <w:p>
            <w:r/>
            <w:r>
              <w:rPr>
                <w:b w:val="0"/>
                <w:sz w:val="17"/>
              </w:rPr>
              <w:t>Clé Gemini absente</w:t>
            </w:r>
          </w:p>
        </w:tc>
        <w:tc>
          <w:tcPr>
            <w:tcW w:type="dxa" w:w="5040"/>
            <w:vAlign w:val="center"/>
          </w:tcPr>
          <w:p>
            <w:r/>
            <w:r>
              <w:rPr>
                <w:b w:val="0"/>
                <w:sz w:val="17"/>
              </w:rPr>
              <w:t>L’API indique le fallback et le parsing heuristique reste utilisable.</w:t>
            </w:r>
          </w:p>
        </w:tc>
      </w:tr>
      <w:tr>
        <w:tc>
          <w:tcPr>
            <w:tcW w:type="dxa" w:w="5040"/>
            <w:vAlign w:val="center"/>
            <w:shd w:fill="F1F5F9"/>
          </w:tcPr>
          <w:p>
            <w:r/>
            <w:r>
              <w:rPr>
                <w:b w:val="0"/>
                <w:sz w:val="17"/>
              </w:rPr>
              <w:t>API Gemini renvoie une erreur</w:t>
            </w:r>
          </w:p>
        </w:tc>
        <w:tc>
          <w:tcPr>
            <w:tcW w:type="dxa" w:w="5040"/>
            <w:vAlign w:val="center"/>
            <w:shd w:fill="F1F5F9"/>
          </w:tcPr>
          <w:p>
            <w:r/>
            <w:r>
              <w:rPr>
                <w:b w:val="0"/>
                <w:sz w:val="17"/>
              </w:rPr>
              <w:t>Le client passe en heuristique ; aucune donnée ne doit être présentée comme certifiée.</w:t>
            </w:r>
          </w:p>
        </w:tc>
      </w:tr>
      <w:tr>
        <w:tc>
          <w:tcPr>
            <w:tcW w:type="dxa" w:w="5040"/>
            <w:vAlign w:val="center"/>
          </w:tcPr>
          <w:p>
            <w:r/>
            <w:r>
              <w:rPr>
                <w:b w:val="0"/>
                <w:sz w:val="17"/>
              </w:rPr>
              <w:t>Sous-traitance et location</w:t>
            </w:r>
          </w:p>
        </w:tc>
        <w:tc>
          <w:tcPr>
            <w:tcW w:type="dxa" w:w="5040"/>
            <w:vAlign w:val="center"/>
          </w:tcPr>
          <w:p>
            <w:r/>
            <w:r>
              <w:rPr>
                <w:b w:val="0"/>
                <w:sz w:val="17"/>
              </w:rPr>
              <w:t>La formule Coût Matériel 1 traite chaque catégorie conformément à la règle métier.</w:t>
            </w:r>
          </w:p>
        </w:tc>
      </w:tr>
      <w:tr>
        <w:tc>
          <w:tcPr>
            <w:tcW w:type="dxa" w:w="5040"/>
            <w:vAlign w:val="center"/>
            <w:shd w:fill="F1F5F9"/>
          </w:tcPr>
          <w:p>
            <w:r/>
            <w:r>
              <w:rPr>
                <w:b w:val="0"/>
                <w:sz w:val="17"/>
              </w:rPr>
              <w:t>Ligne CMRM code 10 absente</w:t>
            </w:r>
          </w:p>
        </w:tc>
        <w:tc>
          <w:tcPr>
            <w:tcW w:type="dxa" w:w="5040"/>
            <w:vAlign w:val="center"/>
            <w:shd w:fill="F1F5F9"/>
          </w:tcPr>
          <w:p>
            <w:r/>
            <w:r>
              <w:rPr>
                <w:b w:val="0"/>
                <w:sz w:val="17"/>
              </w:rPr>
              <w:t>Le système doit détecter l’anomalie au lieu de présenter silencieusement un total trompeur.</w:t>
            </w:r>
          </w:p>
        </w:tc>
      </w:tr>
      <w:tr>
        <w:tc>
          <w:tcPr>
            <w:tcW w:type="dxa" w:w="5040"/>
            <w:vAlign w:val="center"/>
          </w:tcPr>
          <w:p>
            <w:r/>
            <w:r>
              <w:rPr>
                <w:b w:val="0"/>
                <w:sz w:val="17"/>
              </w:rPr>
              <w:t>Modification de champ</w:t>
            </w:r>
          </w:p>
        </w:tc>
        <w:tc>
          <w:tcPr>
            <w:tcW w:type="dxa" w:w="5040"/>
            <w:vAlign w:val="center"/>
          </w:tcPr>
          <w:p>
            <w:r/>
            <w:r>
              <w:rPr>
                <w:b w:val="0"/>
                <w:sz w:val="17"/>
              </w:rPr>
              <w:t>Le rapport se recalcule et les exports reflètent la dernière version enregistrée.</w:t>
            </w:r>
          </w:p>
        </w:tc>
      </w:tr>
      <w:tr>
        <w:tc>
          <w:tcPr>
            <w:tcW w:type="dxa" w:w="5040"/>
            <w:vAlign w:val="center"/>
            <w:shd w:fill="F1F5F9"/>
          </w:tcPr>
          <w:p>
            <w:r/>
            <w:r>
              <w:rPr>
                <w:b w:val="0"/>
                <w:sz w:val="17"/>
              </w:rPr>
              <w:t>Validation incomplète</w:t>
            </w:r>
          </w:p>
        </w:tc>
        <w:tc>
          <w:tcPr>
            <w:tcW w:type="dxa" w:w="5040"/>
            <w:vAlign w:val="center"/>
            <w:shd w:fill="F1F5F9"/>
          </w:tcPr>
          <w:p>
            <w:r/>
            <w:r>
              <w:rPr>
                <w:b w:val="0"/>
                <w:sz w:val="17"/>
              </w:rPr>
              <w:t>Le bouton de validation reste désactivé.</w:t>
            </w:r>
          </w:p>
        </w:tc>
      </w:tr>
      <w:tr>
        <w:tc>
          <w:tcPr>
            <w:tcW w:type="dxa" w:w="5040"/>
            <w:vAlign w:val="center"/>
          </w:tcPr>
          <w:p>
            <w:r/>
            <w:r>
              <w:rPr>
                <w:b w:val="0"/>
                <w:sz w:val="17"/>
              </w:rPr>
              <w:t>Exports Word/PDF/TSV</w:t>
            </w:r>
          </w:p>
        </w:tc>
        <w:tc>
          <w:tcPr>
            <w:tcW w:type="dxa" w:w="5040"/>
            <w:vAlign w:val="center"/>
          </w:tcPr>
          <w:p>
            <w:r/>
            <w:r>
              <w:rPr>
                <w:b w:val="0"/>
                <w:sz w:val="17"/>
              </w:rPr>
              <w:t>Les fichiers s’ouvrent, contiennent les données attendues et conservent des montants corrects.</w:t>
            </w:r>
          </w:p>
        </w:tc>
      </w:tr>
    </w:tbl>
    <w:p/>
    <w:p>
      <w:pPr>
        <w:pStyle w:val="Heading2"/>
      </w:pPr>
      <w:r>
        <w:t>12.2 Dépannage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04A"/>
          </w:tcPr>
          <w:p>
            <w:r/>
            <w:r>
              <w:rPr>
                <w:b/>
                <w:color w:val="FFFFFF"/>
                <w:sz w:val="17"/>
              </w:rPr>
              <w:t>Symptôme</w:t>
            </w:r>
          </w:p>
        </w:tc>
        <w:tc>
          <w:tcPr>
            <w:tcW w:type="dxa" w:w="5040"/>
            <w:vAlign w:val="center"/>
            <w:shd w:fill="12304A"/>
          </w:tcPr>
          <w:p>
            <w:r/>
            <w:r>
              <w:rPr>
                <w:b/>
                <w:color w:val="FFFFFF"/>
                <w:sz w:val="17"/>
              </w:rPr>
              <w:t>Causes probables / actions</w:t>
            </w:r>
          </w:p>
        </w:tc>
      </w:tr>
      <w:tr>
        <w:tc>
          <w:tcPr>
            <w:tcW w:type="dxa" w:w="5040"/>
            <w:vAlign w:val="center"/>
          </w:tcPr>
          <w:p>
            <w:r/>
            <w:r>
              <w:rPr>
                <w:b w:val="0"/>
                <w:sz w:val="17"/>
              </w:rPr>
              <w:t>Page blanche</w:t>
            </w:r>
          </w:p>
        </w:tc>
        <w:tc>
          <w:tcPr>
            <w:tcW w:type="dxa" w:w="5040"/>
            <w:vAlign w:val="center"/>
          </w:tcPr>
          <w:p>
            <w:r/>
            <w:r>
              <w:rPr>
                <w:b w:val="0"/>
                <w:sz w:val="17"/>
              </w:rPr>
              <w:t>Vérifier la console navigateur, les erreurs TypeScript et npm run build.</w:t>
            </w:r>
          </w:p>
        </w:tc>
      </w:tr>
      <w:tr>
        <w:tc>
          <w:tcPr>
            <w:tcW w:type="dxa" w:w="5040"/>
            <w:vAlign w:val="center"/>
            <w:shd w:fill="F1F5F9"/>
          </w:tcPr>
          <w:p>
            <w:r/>
            <w:r>
              <w:rPr>
                <w:b w:val="0"/>
                <w:sz w:val="17"/>
              </w:rPr>
              <w:t>PDF non lu</w:t>
            </w:r>
          </w:p>
        </w:tc>
        <w:tc>
          <w:tcPr>
            <w:tcW w:type="dxa" w:w="5040"/>
            <w:vAlign w:val="center"/>
            <w:shd w:fill="F1F5F9"/>
          </w:tcPr>
          <w:p>
            <w:r/>
            <w:r>
              <w:rPr>
                <w:b w:val="0"/>
                <w:sz w:val="17"/>
              </w:rPr>
              <w:t>Tester un PDF avec texte sélectionnable ; vérifier pdfjs-dist/worker et la console.</w:t>
            </w:r>
          </w:p>
        </w:tc>
      </w:tr>
      <w:tr>
        <w:tc>
          <w:tcPr>
            <w:tcW w:type="dxa" w:w="5040"/>
            <w:vAlign w:val="center"/>
          </w:tcPr>
          <w:p>
            <w:r/>
            <w:r>
              <w:rPr>
                <w:b w:val="0"/>
                <w:sz w:val="17"/>
              </w:rPr>
              <w:t>Données incohérentes après import</w:t>
            </w:r>
          </w:p>
        </w:tc>
        <w:tc>
          <w:tcPr>
            <w:tcW w:type="dxa" w:w="5040"/>
            <w:vAlign w:val="center"/>
          </w:tcPr>
          <w:p>
            <w:r/>
            <w:r>
              <w:rPr>
                <w:b w:val="0"/>
                <w:sz w:val="17"/>
              </w:rPr>
              <w:t>Le parseur n’a pas reconnu les champs ou a gardé des valeurs d’exemple ; corriger manuellement.</w:t>
            </w:r>
          </w:p>
        </w:tc>
      </w:tr>
      <w:tr>
        <w:tc>
          <w:tcPr>
            <w:tcW w:type="dxa" w:w="5040"/>
            <w:vAlign w:val="center"/>
            <w:shd w:fill="F1F5F9"/>
          </w:tcPr>
          <w:p>
            <w:r/>
            <w:r>
              <w:rPr>
                <w:b w:val="0"/>
                <w:sz w:val="17"/>
              </w:rPr>
              <w:t>IA indisponible</w:t>
            </w:r>
          </w:p>
        </w:tc>
        <w:tc>
          <w:tcPr>
            <w:tcW w:type="dxa" w:w="5040"/>
            <w:vAlign w:val="center"/>
            <w:shd w:fill="F1F5F9"/>
          </w:tcPr>
          <w:p>
            <w:r/>
            <w:r>
              <w:rPr>
                <w:b w:val="0"/>
                <w:sz w:val="17"/>
              </w:rPr>
              <w:t>Vérifier GEMINI_API_KEY, accès réseau, modèle configuré, quotas et logs serveur.</w:t>
            </w:r>
          </w:p>
        </w:tc>
      </w:tr>
      <w:tr>
        <w:tc>
          <w:tcPr>
            <w:tcW w:type="dxa" w:w="5040"/>
            <w:vAlign w:val="center"/>
          </w:tcPr>
          <w:p>
            <w:r/>
            <w:r>
              <w:rPr>
                <w:b w:val="0"/>
                <w:sz w:val="17"/>
              </w:rPr>
              <w:t>Route API 404</w:t>
            </w:r>
          </w:p>
        </w:tc>
        <w:tc>
          <w:tcPr>
            <w:tcW w:type="dxa" w:w="5040"/>
            <w:vAlign w:val="center"/>
          </w:tcPr>
          <w:p>
            <w:r/>
            <w:r>
              <w:rPr>
                <w:b w:val="0"/>
                <w:sz w:val="17"/>
              </w:rPr>
              <w:t>Vérifier que l’application passe par server.ts et que l’hébergement exécute Express.</w:t>
            </w:r>
          </w:p>
        </w:tc>
      </w:tr>
      <w:tr>
        <w:tc>
          <w:tcPr>
            <w:tcW w:type="dxa" w:w="5040"/>
            <w:vAlign w:val="center"/>
            <w:shd w:fill="F1F5F9"/>
          </w:tcPr>
          <w:p>
            <w:r/>
            <w:r>
              <w:rPr>
                <w:b w:val="0"/>
                <w:sz w:val="17"/>
              </w:rPr>
              <w:t>Téléchargement vide ou mal formaté</w:t>
            </w:r>
          </w:p>
        </w:tc>
        <w:tc>
          <w:tcPr>
            <w:tcW w:type="dxa" w:w="5040"/>
            <w:vAlign w:val="center"/>
            <w:shd w:fill="F1F5F9"/>
          </w:tcPr>
          <w:p>
            <w:r/>
            <w:r>
              <w:rPr>
                <w:b w:val="0"/>
                <w:sz w:val="17"/>
              </w:rPr>
              <w:t>Vérifier les données d’entrée, les erreurs de génération, les versions des bibliothèques et ouvrir le fichier dans une autre application.</w:t>
            </w:r>
          </w:p>
        </w:tc>
      </w:tr>
      <w:tr>
        <w:tc>
          <w:tcPr>
            <w:tcW w:type="dxa" w:w="5040"/>
            <w:vAlign w:val="center"/>
          </w:tcPr>
          <w:p>
            <w:r/>
            <w:r>
              <w:rPr>
                <w:b w:val="0"/>
                <w:sz w:val="17"/>
              </w:rPr>
              <w:t>Changements perdus après rechargement</w:t>
            </w:r>
          </w:p>
        </w:tc>
        <w:tc>
          <w:tcPr>
            <w:tcW w:type="dxa" w:w="5040"/>
            <w:vAlign w:val="center"/>
          </w:tcPr>
          <w:p>
            <w:r/>
            <w:r>
              <w:rPr>
                <w:b w:val="0"/>
                <w:sz w:val="17"/>
              </w:rPr>
              <w:t>Aucun mécanisme de persistance n’est implémenté dans le code examiné.</w:t>
            </w:r>
          </w:p>
        </w:tc>
      </w:tr>
    </w:tbl>
    <w:p/>
    <w:p>
      <w:pPr>
        <w:pStyle w:val="Heading2"/>
      </w:pPr>
      <w:r>
        <w:t>12.3 Sécurité et confidentialité</w:t>
      </w:r>
    </w:p>
    <w:p>
      <w:pPr>
        <w:pStyle w:val="ListBullet"/>
      </w:pPr>
      <w:r>
        <w:t>Ne jamais committer .env ni partager GEMINI_API_KEY.</w:t>
      </w:r>
    </w:p>
    <w:p>
      <w:pPr>
        <w:pStyle w:val="ListBullet"/>
      </w:pPr>
      <w:r>
        <w:t>Limiter les accès à l’application si elle traite des dossiers confidentiels ; l’archive n’implémente pas d’authentification visible.</w:t>
      </w:r>
    </w:p>
    <w:p>
      <w:pPr>
        <w:pStyle w:val="ListBullet"/>
      </w:pPr>
      <w:r>
        <w:t>Définir une politique de conservation : les documents et textes peuvent être sensibles.</w:t>
      </w:r>
    </w:p>
    <w:p>
      <w:pPr>
        <w:pStyle w:val="ListBullet"/>
      </w:pPr>
      <w:r>
        <w:t>Informer les utilisateurs avant d’envoyer le texte à un fournisseur d’IA externe.</w:t>
      </w:r>
    </w:p>
    <w:p>
      <w:pPr>
        <w:pStyle w:val="ListBullet"/>
      </w:pPr>
      <w:r>
        <w:t>Ajouter une validation serveur du schéma JSON et une limite de longueur de texte.</w:t>
      </w:r>
    </w:p>
    <w:p>
      <w:pPr>
        <w:pStyle w:val="ListBullet"/>
      </w:pPr>
      <w:r>
        <w:t>Ne pas afficher directement des erreurs internes détaillées aux utilisateurs en production.</w:t>
      </w:r>
    </w:p>
    <w:p>
      <w:pPr>
        <w:pStyle w:val="ListBullet"/>
      </w:pPr>
      <w:r>
        <w:t>Ajouter des tests de dépendances, mises à jour régulières et une procédure de sauvegarde si une persistance est ajoutée.</w:t>
      </w:r>
    </w:p>
    <w:p>
      <w:r>
        <w:br w:type="page"/>
      </w:r>
    </w:p>
    <w:p>
      <w:pPr>
        <w:pStyle w:val="Heading1"/>
      </w:pPr>
      <w:r>
        <w:t>13. Limites connues et recommandations de développement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2304A"/>
          </w:tcPr>
          <w:p>
            <w:r/>
            <w:r>
              <w:rPr>
                <w:b/>
                <w:color w:val="FFFFFF"/>
                <w:sz w:val="17"/>
              </w:rPr>
              <w:t>Priorité</w:t>
            </w:r>
          </w:p>
        </w:tc>
        <w:tc>
          <w:tcPr>
            <w:tcW w:type="dxa" w:w="3360"/>
            <w:vAlign w:val="center"/>
            <w:shd w:fill="12304A"/>
          </w:tcPr>
          <w:p>
            <w:r/>
            <w:r>
              <w:rPr>
                <w:b/>
                <w:color w:val="FFFFFF"/>
                <w:sz w:val="17"/>
              </w:rPr>
              <w:t>Constat / risque</w:t>
            </w:r>
          </w:p>
        </w:tc>
        <w:tc>
          <w:tcPr>
            <w:tcW w:type="dxa" w:w="3360"/>
            <w:vAlign w:val="center"/>
            <w:shd w:fill="12304A"/>
          </w:tcPr>
          <w:p>
            <w:r/>
            <w:r>
              <w:rPr>
                <w:b/>
                <w:color w:val="FFFFFF"/>
                <w:sz w:val="17"/>
              </w:rPr>
              <w:t>Amélioration recommandée</w:t>
            </w:r>
          </w:p>
        </w:tc>
      </w:tr>
      <w:tr>
        <w:tc>
          <w:tcPr>
            <w:tcW w:type="dxa" w:w="3360"/>
            <w:vAlign w:val="center"/>
          </w:tcPr>
          <w:p>
            <w:r/>
            <w:r>
              <w:rPr>
                <w:b w:val="0"/>
                <w:sz w:val="17"/>
              </w:rPr>
              <w:t>Critique métier</w:t>
            </w:r>
          </w:p>
        </w:tc>
        <w:tc>
          <w:tcPr>
            <w:tcW w:type="dxa" w:w="3360"/>
            <w:vAlign w:val="center"/>
          </w:tcPr>
          <w:p>
            <w:r/>
            <w:r>
              <w:rPr>
                <w:b w:val="0"/>
                <w:sz w:val="17"/>
              </w:rPr>
              <w:t>Le parseur heuristique part d’un exemple et peut conserver des champs non reconnus.</w:t>
            </w:r>
          </w:p>
        </w:tc>
        <w:tc>
          <w:tcPr>
            <w:tcW w:type="dxa" w:w="3360"/>
            <w:vAlign w:val="center"/>
          </w:tcPr>
          <w:p>
            <w:r/>
            <w:r>
              <w:rPr>
                <w:b w:val="0"/>
                <w:sz w:val="17"/>
              </w:rPr>
              <w:t>Initialiser les champs non extraits comme inconnus/vides ; afficher une liste de champs non vérifiés et bloquer l’export officiel tant qu’ils ne sont pas contrôlés.</w:t>
            </w:r>
          </w:p>
        </w:tc>
      </w:tr>
      <w:tr>
        <w:tc>
          <w:tcPr>
            <w:tcW w:type="dxa" w:w="3360"/>
            <w:vAlign w:val="center"/>
            <w:shd w:fill="F1F5F9"/>
          </w:tcPr>
          <w:p>
            <w:r/>
            <w:r>
              <w:rPr>
                <w:b w:val="0"/>
                <w:sz w:val="17"/>
              </w:rPr>
              <w:t>Critique métier</w:t>
            </w:r>
          </w:p>
        </w:tc>
        <w:tc>
          <w:tcPr>
            <w:tcW w:type="dxa" w:w="3360"/>
            <w:vAlign w:val="center"/>
            <w:shd w:fill="F1F5F9"/>
          </w:tcPr>
          <w:p>
            <w:r/>
            <w:r>
              <w:rPr>
                <w:b w:val="0"/>
                <w:sz w:val="17"/>
              </w:rPr>
              <w:t>La validation est un état React local, sans identité sécurisée ni journal durable.</w:t>
            </w:r>
          </w:p>
        </w:tc>
        <w:tc>
          <w:tcPr>
            <w:tcW w:type="dxa" w:w="3360"/>
            <w:vAlign w:val="center"/>
            <w:shd w:fill="F1F5F9"/>
          </w:tcPr>
          <w:p>
            <w:r/>
            <w:r>
              <w:rPr>
                <w:b w:val="0"/>
                <w:sz w:val="17"/>
              </w:rPr>
              <w:t>Ajouter authentification, rôles, journal d’audit serveur, horodatage fiable et processus d’approbation.</w:t>
            </w:r>
          </w:p>
        </w:tc>
      </w:tr>
      <w:tr>
        <w:tc>
          <w:tcPr>
            <w:tcW w:type="dxa" w:w="3360"/>
            <w:vAlign w:val="center"/>
          </w:tcPr>
          <w:p>
            <w:r/>
            <w:r>
              <w:rPr>
                <w:b w:val="0"/>
                <w:sz w:val="17"/>
              </w:rPr>
              <w:t>Élevée</w:t>
            </w:r>
          </w:p>
        </w:tc>
        <w:tc>
          <w:tcPr>
            <w:tcW w:type="dxa" w:w="3360"/>
            <w:vAlign w:val="center"/>
          </w:tcPr>
          <w:p>
            <w:r/>
            <w:r>
              <w:rPr>
                <w:b w:val="0"/>
                <w:sz w:val="17"/>
              </w:rPr>
              <w:t>Pas de base de données ou de sauvegarde visible.</w:t>
            </w:r>
          </w:p>
        </w:tc>
        <w:tc>
          <w:tcPr>
            <w:tcW w:type="dxa" w:w="3360"/>
            <w:vAlign w:val="center"/>
          </w:tcPr>
          <w:p>
            <w:r/>
            <w:r>
              <w:rPr>
                <w:b w:val="0"/>
                <w:sz w:val="17"/>
              </w:rPr>
              <w:t>Ajouter un stockage adapté avec contrôle d’accès, versions et sauvegarde si le métier exige une continuité de dossier.</w:t>
            </w:r>
          </w:p>
        </w:tc>
      </w:tr>
      <w:tr>
        <w:tc>
          <w:tcPr>
            <w:tcW w:type="dxa" w:w="3360"/>
            <w:vAlign w:val="center"/>
            <w:shd w:fill="F1F5F9"/>
          </w:tcPr>
          <w:p>
            <w:r/>
            <w:r>
              <w:rPr>
                <w:b w:val="0"/>
                <w:sz w:val="17"/>
              </w:rPr>
              <w:t>Élevée</w:t>
            </w:r>
          </w:p>
        </w:tc>
        <w:tc>
          <w:tcPr>
            <w:tcW w:type="dxa" w:w="3360"/>
            <w:vAlign w:val="center"/>
            <w:shd w:fill="F1F5F9"/>
          </w:tcPr>
          <w:p>
            <w:r/>
            <w:r>
              <w:rPr>
                <w:b w:val="0"/>
                <w:sz w:val="17"/>
              </w:rPr>
              <w:t>Les seuils et règles réglementaires doivent être audités par rapport au guide officiel.</w:t>
            </w:r>
          </w:p>
        </w:tc>
        <w:tc>
          <w:tcPr>
            <w:tcW w:type="dxa" w:w="3360"/>
            <w:vAlign w:val="center"/>
            <w:shd w:fill="F1F5F9"/>
          </w:tcPr>
          <w:p>
            <w:r/>
            <w:r>
              <w:rPr>
                <w:b w:val="0"/>
                <w:sz w:val="17"/>
              </w:rPr>
              <w:t>Centraliser les règles dans une configuration versionnée, référencer les textes et faire valider les changements.</w:t>
            </w:r>
          </w:p>
        </w:tc>
      </w:tr>
      <w:tr>
        <w:tc>
          <w:tcPr>
            <w:tcW w:type="dxa" w:w="3360"/>
            <w:vAlign w:val="center"/>
          </w:tcPr>
          <w:p>
            <w:r/>
            <w:r>
              <w:rPr>
                <w:b w:val="0"/>
                <w:sz w:val="17"/>
              </w:rPr>
              <w:t>Élevée</w:t>
            </w:r>
          </w:p>
        </w:tc>
        <w:tc>
          <w:tcPr>
            <w:tcW w:type="dxa" w:w="3360"/>
            <w:vAlign w:val="center"/>
          </w:tcPr>
          <w:p>
            <w:r/>
            <w:r>
              <w:rPr>
                <w:b w:val="0"/>
                <w:sz w:val="17"/>
              </w:rPr>
              <w:t>Absence de tests automatisés visibles dans l’archive.</w:t>
            </w:r>
          </w:p>
        </w:tc>
        <w:tc>
          <w:tcPr>
            <w:tcW w:type="dxa" w:w="3360"/>
            <w:vAlign w:val="center"/>
          </w:tcPr>
          <w:p>
            <w:r/>
            <w:r>
              <w:rPr>
                <w:b w:val="0"/>
                <w:sz w:val="17"/>
              </w:rPr>
              <w:t>Ajouter tests unitaires du moteur, tests de parsing, tests d’intégration API et tests de génération.</w:t>
            </w:r>
          </w:p>
        </w:tc>
      </w:tr>
      <w:tr>
        <w:tc>
          <w:tcPr>
            <w:tcW w:type="dxa" w:w="3360"/>
            <w:vAlign w:val="center"/>
            <w:shd w:fill="F1F5F9"/>
          </w:tcPr>
          <w:p>
            <w:r/>
            <w:r>
              <w:rPr>
                <w:b w:val="0"/>
                <w:sz w:val="17"/>
              </w:rPr>
              <w:t>Élevée</w:t>
            </w:r>
          </w:p>
        </w:tc>
        <w:tc>
          <w:tcPr>
            <w:tcW w:type="dxa" w:w="3360"/>
            <w:vAlign w:val="center"/>
            <w:shd w:fill="F1F5F9"/>
          </w:tcPr>
          <w:p>
            <w:r/>
            <w:r>
              <w:rPr>
                <w:b w:val="0"/>
                <w:sz w:val="17"/>
              </w:rPr>
              <w:t>Le texte de PDF scanné peut ne pas être extractible.</w:t>
            </w:r>
          </w:p>
        </w:tc>
        <w:tc>
          <w:tcPr>
            <w:tcW w:type="dxa" w:w="3360"/>
            <w:vAlign w:val="center"/>
            <w:shd w:fill="F1F5F9"/>
          </w:tcPr>
          <w:p>
            <w:r/>
            <w:r>
              <w:rPr>
                <w:b w:val="0"/>
                <w:sz w:val="17"/>
              </w:rPr>
              <w:t>Intégrer un OCR explicite, mesurer la qualité par champ et exiger une validation humaine.</w:t>
            </w:r>
          </w:p>
        </w:tc>
      </w:tr>
      <w:tr>
        <w:tc>
          <w:tcPr>
            <w:tcW w:type="dxa" w:w="3360"/>
            <w:vAlign w:val="center"/>
          </w:tcPr>
          <w:p>
            <w:r/>
            <w:r>
              <w:rPr>
                <w:b w:val="0"/>
                <w:sz w:val="17"/>
              </w:rPr>
              <w:t>Moyenne</w:t>
            </w:r>
          </w:p>
        </w:tc>
        <w:tc>
          <w:tcPr>
            <w:tcW w:type="dxa" w:w="3360"/>
            <w:vAlign w:val="center"/>
          </w:tcPr>
          <w:p>
            <w:r/>
            <w:r>
              <w:rPr>
                <w:b w:val="0"/>
                <w:sz w:val="17"/>
              </w:rPr>
              <w:t>Valeurs de comparaison codées en dur et dépendance à des libellés.</w:t>
            </w:r>
          </w:p>
        </w:tc>
        <w:tc>
          <w:tcPr>
            <w:tcW w:type="dxa" w:w="3360"/>
            <w:vAlign w:val="center"/>
          </w:tcPr>
          <w:p>
            <w:r/>
            <w:r>
              <w:rPr>
                <w:b w:val="0"/>
                <w:sz w:val="17"/>
              </w:rPr>
              <w:t>Créer des constantes nommées, normaliser les catégories et valider les structures.</w:t>
            </w:r>
          </w:p>
        </w:tc>
      </w:tr>
      <w:tr>
        <w:tc>
          <w:tcPr>
            <w:tcW w:type="dxa" w:w="3360"/>
            <w:vAlign w:val="center"/>
            <w:shd w:fill="F1F5F9"/>
          </w:tcPr>
          <w:p>
            <w:r/>
            <w:r>
              <w:rPr>
                <w:b w:val="0"/>
                <w:sz w:val="17"/>
              </w:rPr>
              <w:t>Moyenne</w:t>
            </w:r>
          </w:p>
        </w:tc>
        <w:tc>
          <w:tcPr>
            <w:tcW w:type="dxa" w:w="3360"/>
            <w:vAlign w:val="center"/>
            <w:shd w:fill="F1F5F9"/>
          </w:tcPr>
          <w:p>
            <w:r/>
            <w:r>
              <w:rPr>
                <w:b w:val="0"/>
                <w:sz w:val="17"/>
              </w:rPr>
              <w:t>Notes et rôle de l’évaluateur ne sont pas complètement propagés au rapport.</w:t>
            </w:r>
          </w:p>
        </w:tc>
        <w:tc>
          <w:tcPr>
            <w:tcW w:type="dxa" w:w="3360"/>
            <w:vAlign w:val="center"/>
            <w:shd w:fill="F1F5F9"/>
          </w:tcPr>
          <w:p>
            <w:r/>
            <w:r>
              <w:rPr>
                <w:b w:val="0"/>
                <w:sz w:val="17"/>
              </w:rPr>
              <w:t>Étendre le type du rapport et le callback afin de conserver toutes les informations nécessaires.</w:t>
            </w:r>
          </w:p>
        </w:tc>
      </w:tr>
      <w:tr>
        <w:tc>
          <w:tcPr>
            <w:tcW w:type="dxa" w:w="3360"/>
            <w:vAlign w:val="center"/>
          </w:tcPr>
          <w:p>
            <w:r/>
            <w:r>
              <w:rPr>
                <w:b w:val="0"/>
                <w:sz w:val="17"/>
              </w:rPr>
              <w:t>Moyenne</w:t>
            </w:r>
          </w:p>
        </w:tc>
        <w:tc>
          <w:tcPr>
            <w:tcW w:type="dxa" w:w="3360"/>
            <w:vAlign w:val="center"/>
          </w:tcPr>
          <w:p>
            <w:r/>
            <w:r>
              <w:rPr>
                <w:b w:val="0"/>
                <w:sz w:val="17"/>
              </w:rPr>
              <w:t>Exports globaux et export depuis le canevas peuvent utiliser des états différents.</w:t>
            </w:r>
          </w:p>
        </w:tc>
        <w:tc>
          <w:tcPr>
            <w:tcW w:type="dxa" w:w="3360"/>
            <w:vAlign w:val="center"/>
          </w:tcPr>
          <w:p>
            <w:r/>
            <w:r>
              <w:rPr>
                <w:b w:val="0"/>
                <w:sz w:val="17"/>
              </w:rPr>
              <w:t>Centraliser la source des données exportées et vérifier les modifications avant téléchargement.</w:t>
            </w:r>
          </w:p>
        </w:tc>
      </w:tr>
      <w:tr>
        <w:tc>
          <w:tcPr>
            <w:tcW w:type="dxa" w:w="3360"/>
            <w:vAlign w:val="center"/>
            <w:shd w:fill="F1F5F9"/>
          </w:tcPr>
          <w:p>
            <w:r/>
            <w:r>
              <w:rPr>
                <w:b w:val="0"/>
                <w:sz w:val="17"/>
              </w:rPr>
              <w:t>Moyenne</w:t>
            </w:r>
          </w:p>
        </w:tc>
        <w:tc>
          <w:tcPr>
            <w:tcW w:type="dxa" w:w="3360"/>
            <w:vAlign w:val="center"/>
            <w:shd w:fill="F1F5F9"/>
          </w:tcPr>
          <w:p>
            <w:r/>
            <w:r>
              <w:rPr>
                <w:b w:val="0"/>
                <w:sz w:val="17"/>
              </w:rPr>
              <w:t>Le fichier TSV n’est pas un vrai classeur Excel.</w:t>
            </w:r>
          </w:p>
        </w:tc>
        <w:tc>
          <w:tcPr>
            <w:tcW w:type="dxa" w:w="3360"/>
            <w:vAlign w:val="center"/>
            <w:shd w:fill="F1F5F9"/>
          </w:tcPr>
          <w:p>
            <w:r/>
            <w:r>
              <w:rPr>
                <w:b w:val="0"/>
                <w:sz w:val="17"/>
              </w:rPr>
              <w:t>Si demandé, générer un .xlsx structuré avec feuilles séparées.</w:t>
            </w:r>
          </w:p>
        </w:tc>
      </w:tr>
    </w:tbl>
    <w:p/>
    <w:p>
      <w:pPr>
        <w:pStyle w:val="Heading2"/>
      </w:pPr>
      <w:r>
        <w:t>13.1 Plan de tests du moteur</w:t>
      </w:r>
    </w:p>
    <w:p>
      <w:pPr>
        <w:pStyle w:val="ListBullet"/>
      </w:pPr>
      <w:r>
        <w:t>Tester les valeurs exactes de chaque pivot sur un jeu de données de référence approuvé.</w:t>
      </w:r>
    </w:p>
    <w:p>
      <w:pPr>
        <w:pStyle w:val="ListBullet"/>
      </w:pPr>
      <w:r>
        <w:t>Tester quantité zéro, prix zéro, montants négatifs, ligne manquante, ligne dupliquée et valeur non finie.</w:t>
      </w:r>
    </w:p>
    <w:p>
      <w:pPr>
        <w:pStyle w:val="ListBullet"/>
      </w:pPr>
      <w:r>
        <w:t>Tester matériel déjà acquis combiné à sous-traitance et location.</w:t>
      </w:r>
    </w:p>
    <w:p>
      <w:pPr>
        <w:pStyle w:val="ListBullet"/>
      </w:pPr>
      <w:r>
        <w:t>Tester financement inférieur, égal et supérieur au besoin calculé.</w:t>
      </w:r>
    </w:p>
    <w:p>
      <w:pPr>
        <w:pStyle w:val="ListBullet"/>
      </w:pPr>
      <w:r>
        <w:t>Tester substances concordantes et discordantes.</w:t>
      </w:r>
    </w:p>
    <w:p>
      <w:pPr>
        <w:pStyle w:val="ListBullet"/>
      </w:pPr>
      <w:r>
        <w:t>Tester responsable technique, CV, déclaration signée et dates manquantes.</w:t>
      </w:r>
    </w:p>
    <w:p>
      <w:pPr>
        <w:pStyle w:val="ListBullet"/>
      </w:pPr>
      <w:r>
        <w:t>Vérifier les limites de score, notamment juste en dessous, sur et juste au-dessus de chaque seuil.</w:t>
      </w:r>
    </w:p>
    <w:p>
      <w:r>
        <w:br w:type="page"/>
      </w:r>
    </w:p>
    <w:p>
      <w:pPr>
        <w:pStyle w:val="Heading1"/>
      </w:pPr>
      <w:r>
        <w:t>14. Glossaire et checklist opérationnelle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2304A"/>
          </w:tcPr>
          <w:p>
            <w:r/>
            <w:r>
              <w:rPr>
                <w:b/>
                <w:color w:val="FFFFFF"/>
                <w:sz w:val="17"/>
              </w:rPr>
              <w:t>Terme</w:t>
            </w:r>
          </w:p>
        </w:tc>
        <w:tc>
          <w:tcPr>
            <w:tcW w:type="dxa" w:w="5040"/>
            <w:vAlign w:val="center"/>
            <w:shd w:fill="12304A"/>
          </w:tcPr>
          <w:p>
            <w:r/>
            <w:r>
              <w:rPr>
                <w:b/>
                <w:color w:val="FFFFFF"/>
                <w:sz w:val="17"/>
              </w:rPr>
              <w:t>Définition dans le contexte du projet</w:t>
            </w:r>
          </w:p>
        </w:tc>
      </w:tr>
      <w:tr>
        <w:tc>
          <w:tcPr>
            <w:tcW w:type="dxa" w:w="5040"/>
            <w:vAlign w:val="center"/>
          </w:tcPr>
          <w:p>
            <w:r/>
            <w:r>
              <w:rPr>
                <w:b w:val="0"/>
                <w:sz w:val="17"/>
              </w:rPr>
              <w:t>PTPF</w:t>
            </w:r>
          </w:p>
        </w:tc>
        <w:tc>
          <w:tcPr>
            <w:tcW w:type="dxa" w:w="5040"/>
            <w:vAlign w:val="center"/>
          </w:tcPr>
          <w:p>
            <w:r/>
            <w:r>
              <w:rPr>
                <w:b w:val="0"/>
                <w:sz w:val="17"/>
              </w:rPr>
              <w:t>Programme de Travail et Plan de Financement soumis pour examen.</w:t>
            </w:r>
          </w:p>
        </w:tc>
      </w:tr>
      <w:tr>
        <w:tc>
          <w:tcPr>
            <w:tcW w:type="dxa" w:w="5040"/>
            <w:vAlign w:val="center"/>
            <w:shd w:fill="F1F5F9"/>
          </w:tcPr>
          <w:p>
            <w:r/>
            <w:r>
              <w:rPr>
                <w:b w:val="0"/>
                <w:sz w:val="17"/>
              </w:rPr>
              <w:t>CCM</w:t>
            </w:r>
          </w:p>
        </w:tc>
        <w:tc>
          <w:tcPr>
            <w:tcW w:type="dxa" w:w="5040"/>
            <w:vAlign w:val="center"/>
            <w:shd w:fill="F1F5F9"/>
          </w:tcPr>
          <w:p>
            <w:r/>
            <w:r>
              <w:rPr>
                <w:b w:val="0"/>
                <w:sz w:val="17"/>
              </w:rPr>
              <w:t>Cahier des Charges Minières généré à partir des données du dossier et du rapport.</w:t>
            </w:r>
          </w:p>
        </w:tc>
      </w:tr>
      <w:tr>
        <w:tc>
          <w:tcPr>
            <w:tcW w:type="dxa" w:w="5040"/>
            <w:vAlign w:val="center"/>
          </w:tcPr>
          <w:p>
            <w:r/>
            <w:r>
              <w:rPr>
                <w:b w:val="0"/>
                <w:sz w:val="17"/>
              </w:rPr>
              <w:t>BCMM</w:t>
            </w:r>
          </w:p>
        </w:tc>
        <w:tc>
          <w:tcPr>
            <w:tcW w:type="dxa" w:w="5040"/>
            <w:vAlign w:val="center"/>
          </w:tcPr>
          <w:p>
            <w:r/>
            <w:r>
              <w:rPr>
                <w:b w:val="0"/>
                <w:sz w:val="17"/>
              </w:rPr>
              <w:t>Code/référence cadastrale associée au dossier dans les données du projet.</w:t>
            </w:r>
          </w:p>
        </w:tc>
      </w:tr>
      <w:tr>
        <w:tc>
          <w:tcPr>
            <w:tcW w:type="dxa" w:w="5040"/>
            <w:vAlign w:val="center"/>
            <w:shd w:fill="F1F5F9"/>
          </w:tcPr>
          <w:p>
            <w:r/>
            <w:r>
              <w:rPr>
                <w:b w:val="0"/>
                <w:sz w:val="17"/>
              </w:rPr>
              <w:t>V.1</w:t>
            </w:r>
          </w:p>
        </w:tc>
        <w:tc>
          <w:tcPr>
            <w:tcW w:type="dxa" w:w="5040"/>
            <w:vAlign w:val="center"/>
            <w:shd w:fill="F1F5F9"/>
          </w:tcPr>
          <w:p>
            <w:r/>
            <w:r>
              <w:rPr>
                <w:b w:val="0"/>
                <w:sz w:val="17"/>
              </w:rPr>
              <w:t>Tableau d’investissement par phase.</w:t>
            </w:r>
          </w:p>
        </w:tc>
      </w:tr>
      <w:tr>
        <w:tc>
          <w:tcPr>
            <w:tcW w:type="dxa" w:w="5040"/>
            <w:vAlign w:val="center"/>
          </w:tcPr>
          <w:p>
            <w:r/>
            <w:r>
              <w:rPr>
                <w:b w:val="0"/>
                <w:sz w:val="17"/>
              </w:rPr>
              <w:t>V.2</w:t>
            </w:r>
          </w:p>
        </w:tc>
        <w:tc>
          <w:tcPr>
            <w:tcW w:type="dxa" w:w="5040"/>
            <w:vAlign w:val="center"/>
          </w:tcPr>
          <w:p>
            <w:r/>
            <w:r>
              <w:rPr>
                <w:b w:val="0"/>
                <w:sz w:val="17"/>
              </w:rPr>
              <w:t>Liste des matériels et coûts.</w:t>
            </w:r>
          </w:p>
        </w:tc>
      </w:tr>
      <w:tr>
        <w:tc>
          <w:tcPr>
            <w:tcW w:type="dxa" w:w="5040"/>
            <w:vAlign w:val="center"/>
            <w:shd w:fill="F1F5F9"/>
          </w:tcPr>
          <w:p>
            <w:r/>
            <w:r>
              <w:rPr>
                <w:b w:val="0"/>
                <w:sz w:val="17"/>
              </w:rPr>
              <w:t>V.3 / CMRM</w:t>
            </w:r>
          </w:p>
        </w:tc>
        <w:tc>
          <w:tcPr>
            <w:tcW w:type="dxa" w:w="5040"/>
            <w:vAlign w:val="center"/>
            <w:shd w:fill="F1F5F9"/>
          </w:tcPr>
          <w:p>
            <w:r/>
            <w:r>
              <w:rPr>
                <w:b w:val="0"/>
                <w:sz w:val="17"/>
              </w:rPr>
              <w:t>Tableau des catégories de coûts/garanties minimales utilisées par les règles du projet.</w:t>
            </w:r>
          </w:p>
        </w:tc>
      </w:tr>
      <w:tr>
        <w:tc>
          <w:tcPr>
            <w:tcW w:type="dxa" w:w="5040"/>
            <w:vAlign w:val="center"/>
          </w:tcPr>
          <w:p>
            <w:r/>
            <w:r>
              <w:rPr>
                <w:b w:val="0"/>
                <w:sz w:val="17"/>
              </w:rPr>
              <w:t>RSE</w:t>
            </w:r>
          </w:p>
        </w:tc>
        <w:tc>
          <w:tcPr>
            <w:tcW w:type="dxa" w:w="5040"/>
            <w:vAlign w:val="center"/>
          </w:tcPr>
          <w:p>
            <w:r/>
            <w:r>
              <w:rPr>
                <w:b w:val="0"/>
                <w:sz w:val="17"/>
              </w:rPr>
              <w:t>Responsabilité sociétale de l’entreprise, selon les champs métier codés.</w:t>
            </w:r>
          </w:p>
        </w:tc>
      </w:tr>
      <w:tr>
        <w:tc>
          <w:tcPr>
            <w:tcW w:type="dxa" w:w="5040"/>
            <w:vAlign w:val="center"/>
            <w:shd w:fill="F1F5F9"/>
          </w:tcPr>
          <w:p>
            <w:r/>
            <w:r>
              <w:rPr>
                <w:b w:val="0"/>
                <w:sz w:val="17"/>
              </w:rPr>
              <w:t>PRSE</w:t>
            </w:r>
          </w:p>
        </w:tc>
        <w:tc>
          <w:tcPr>
            <w:tcW w:type="dxa" w:w="5040"/>
            <w:vAlign w:val="center"/>
            <w:shd w:fill="F1F5F9"/>
          </w:tcPr>
          <w:p>
            <w:r/>
            <w:r>
              <w:rPr>
                <w:b w:val="0"/>
                <w:sz w:val="17"/>
              </w:rPr>
              <w:t>Plan de Responsabilité Sociétale de l’Entreprise, selon les champs métier codés.</w:t>
            </w:r>
          </w:p>
        </w:tc>
      </w:tr>
      <w:tr>
        <w:tc>
          <w:tcPr>
            <w:tcW w:type="dxa" w:w="5040"/>
            <w:vAlign w:val="center"/>
          </w:tcPr>
          <w:p>
            <w:r/>
            <w:r>
              <w:rPr>
                <w:b w:val="0"/>
                <w:sz w:val="17"/>
              </w:rPr>
              <w:t>MGA</w:t>
            </w:r>
          </w:p>
        </w:tc>
        <w:tc>
          <w:tcPr>
            <w:tcW w:type="dxa" w:w="5040"/>
            <w:vAlign w:val="center"/>
          </w:tcPr>
          <w:p>
            <w:r/>
            <w:r>
              <w:rPr>
                <w:b w:val="0"/>
                <w:sz w:val="17"/>
              </w:rPr>
              <w:t>Ariary malgache.</w:t>
            </w:r>
          </w:p>
        </w:tc>
      </w:tr>
      <w:tr>
        <w:tc>
          <w:tcPr>
            <w:tcW w:type="dxa" w:w="5040"/>
            <w:vAlign w:val="center"/>
            <w:shd w:fill="F1F5F9"/>
          </w:tcPr>
          <w:p>
            <w:r/>
            <w:r>
              <w:rPr>
                <w:b w:val="0"/>
                <w:sz w:val="17"/>
              </w:rPr>
              <w:t>SPA</w:t>
            </w:r>
          </w:p>
        </w:tc>
        <w:tc>
          <w:tcPr>
            <w:tcW w:type="dxa" w:w="5040"/>
            <w:vAlign w:val="center"/>
            <w:shd w:fill="F1F5F9"/>
          </w:tcPr>
          <w:p>
            <w:r/>
            <w:r>
              <w:rPr>
                <w:b w:val="0"/>
                <w:sz w:val="17"/>
              </w:rPr>
              <w:t>Application web monopage dont la navigation est gérée côté client.</w:t>
            </w:r>
          </w:p>
        </w:tc>
      </w:tr>
      <w:tr>
        <w:tc>
          <w:tcPr>
            <w:tcW w:type="dxa" w:w="5040"/>
            <w:vAlign w:val="center"/>
          </w:tcPr>
          <w:p>
            <w:r/>
            <w:r>
              <w:rPr>
                <w:b w:val="0"/>
                <w:sz w:val="17"/>
              </w:rPr>
              <w:t>API</w:t>
            </w:r>
          </w:p>
        </w:tc>
        <w:tc>
          <w:tcPr>
            <w:tcW w:type="dxa" w:w="5040"/>
            <w:vAlign w:val="center"/>
          </w:tcPr>
          <w:p>
            <w:r/>
            <w:r>
              <w:rPr>
                <w:b w:val="0"/>
                <w:sz w:val="17"/>
              </w:rPr>
              <w:t>Interface HTTP utilisée ici pour demander l’extraction IA.</w:t>
            </w:r>
          </w:p>
        </w:tc>
      </w:tr>
      <w:tr>
        <w:tc>
          <w:tcPr>
            <w:tcW w:type="dxa" w:w="5040"/>
            <w:vAlign w:val="center"/>
            <w:shd w:fill="F1F5F9"/>
          </w:tcPr>
          <w:p>
            <w:r/>
            <w:r>
              <w:rPr>
                <w:b w:val="0"/>
                <w:sz w:val="17"/>
              </w:rPr>
              <w:t>Heuristique</w:t>
            </w:r>
          </w:p>
        </w:tc>
        <w:tc>
          <w:tcPr>
            <w:tcW w:type="dxa" w:w="5040"/>
            <w:vAlign w:val="center"/>
            <w:shd w:fill="F1F5F9"/>
          </w:tcPr>
          <w:p>
            <w:r/>
            <w:r>
              <w:rPr>
                <w:b w:val="0"/>
                <w:sz w:val="17"/>
              </w:rPr>
              <w:t>Règles de reconnaissance de texte, notamment expressions régulières.</w:t>
            </w:r>
          </w:p>
        </w:tc>
      </w:tr>
      <w:tr>
        <w:tc>
          <w:tcPr>
            <w:tcW w:type="dxa" w:w="5040"/>
            <w:vAlign w:val="center"/>
          </w:tcPr>
          <w:p>
            <w:r/>
            <w:r>
              <w:rPr>
                <w:b w:val="0"/>
                <w:sz w:val="17"/>
              </w:rPr>
              <w:t>OCR</w:t>
            </w:r>
          </w:p>
        </w:tc>
        <w:tc>
          <w:tcPr>
            <w:tcW w:type="dxa" w:w="5040"/>
            <w:vAlign w:val="center"/>
          </w:tcPr>
          <w:p>
            <w:r/>
            <w:r>
              <w:rPr>
                <w:b w:val="0"/>
                <w:sz w:val="17"/>
              </w:rPr>
              <w:t>Reconnaissance optique de caractères pour transformer une image en texte.</w:t>
            </w:r>
          </w:p>
        </w:tc>
      </w:tr>
      <w:tr>
        <w:tc>
          <w:tcPr>
            <w:tcW w:type="dxa" w:w="5040"/>
            <w:vAlign w:val="center"/>
            <w:shd w:fill="F1F5F9"/>
          </w:tcPr>
          <w:p>
            <w:r/>
            <w:r>
              <w:rPr>
                <w:b w:val="0"/>
                <w:sz w:val="17"/>
              </w:rPr>
              <w:t>TSV</w:t>
            </w:r>
          </w:p>
        </w:tc>
        <w:tc>
          <w:tcPr>
            <w:tcW w:type="dxa" w:w="5040"/>
            <w:vAlign w:val="center"/>
            <w:shd w:fill="F1F5F9"/>
          </w:tcPr>
          <w:p>
            <w:r/>
            <w:r>
              <w:rPr>
                <w:b w:val="0"/>
                <w:sz w:val="17"/>
              </w:rPr>
              <w:t>Fichier texte où les colonnes sont séparées par des tabulations.</w:t>
            </w:r>
          </w:p>
        </w:tc>
      </w:tr>
    </w:tbl>
    <w:p/>
    <w:p>
      <w:pPr>
        <w:pStyle w:val="Heading2"/>
      </w:pPr>
      <w:r>
        <w:t>Checklist avant utilisation opérationnelle</w:t>
      </w:r>
    </w:p>
    <w:p>
      <w:pPr>
        <w:pStyle w:val="ListBullet"/>
      </w:pPr>
      <w:r>
        <w:t>☐ Le bon dossier et le bon numéro de permis sont affichés.</w:t>
      </w:r>
    </w:p>
    <w:p>
      <w:pPr>
        <w:pStyle w:val="ListBullet"/>
      </w:pPr>
      <w:r>
        <w:t>☐ Les champs extraits ont été comparés au document source.</w:t>
      </w:r>
    </w:p>
    <w:p>
      <w:pPr>
        <w:pStyle w:val="ListBullet"/>
      </w:pPr>
      <w:r>
        <w:t>☐ Les substances, surfaces, carrés et dates sont vérifiés.</w:t>
      </w:r>
    </w:p>
    <w:p>
      <w:pPr>
        <w:pStyle w:val="ListBullet"/>
      </w:pPr>
      <w:r>
        <w:t>☐ Les totaux V.2, V.1, CMRM, financement, environnement, RSE et PRSE ont été revus.</w:t>
      </w:r>
    </w:p>
    <w:p>
      <w:pPr>
        <w:pStyle w:val="ListBullet"/>
      </w:pPr>
      <w:r>
        <w:t>☐ Les anomalies et constats du rapport sont compris et traités.</w:t>
      </w:r>
    </w:p>
    <w:p>
      <w:pPr>
        <w:pStyle w:val="ListBullet"/>
      </w:pPr>
      <w:r>
        <w:t>☐ Les quatre contrôles de validation humaine ont réellement été effectués.</w:t>
      </w:r>
    </w:p>
    <w:p>
      <w:pPr>
        <w:pStyle w:val="ListBullet"/>
      </w:pPr>
      <w:r>
        <w:t>☐ Les prescriptions, nom de l’évaluateur et champs éditables sont corrects.</w:t>
      </w:r>
    </w:p>
    <w:p>
      <w:pPr>
        <w:pStyle w:val="ListBullet"/>
      </w:pPr>
      <w:r>
        <w:t>☐ Le Word/PDF généré a été relu intégralement avant signature ou transmission.</w:t>
      </w:r>
    </w:p>
    <w:p>
      <w:pPr>
        <w:pStyle w:val="ListBullet"/>
      </w:pPr>
      <w:r>
        <w:t>☐ Le fichier TSV a été rapproché des tableaux sources s’il est utilisé.</w:t>
      </w:r>
    </w:p>
    <w:p>
      <w:pPr>
        <w:pStyle w:val="ListBullet"/>
      </w:pPr>
      <w:r>
        <w:t>☐ Les utilisateurs savent que l’application assiste la décision et ne remplace pas les contrôles réglementaires.</w:t>
      </w:r>
    </w:p>
    <w:p>
      <w:pPr>
        <w:pStyle w:val="Heading1"/>
      </w:pPr>
      <w:r>
        <w:t>Conclusion</w:t>
      </w:r>
    </w:p>
    <w:p>
      <w:r>
        <w:t>Pour comprendre ÉvalMinier, il faut suivre le fil complet : MiningPermitDocument définit les données, pdfParser.ts tente de les remplir, App.tsx conserve le dossier et demande son évaluation, evaluationEngine.ts calcule les résultats, les composants présentent les résultats et la validation, puis les générateurs DOCX/PDF et la vue TSV produisent les livrables. Les points les plus importants pour une maintenance fiable sont la qualité des données extraites, la traçabilité de la validation humaine, la vérification réglementaire des formules et l’ajout de tests automatisés.</w:t>
      </w:r>
    </w:p>
    <w:p>
      <w:r>
        <w:t>Cette documentation décrit le code présent dans l’archive analysée. Toute évolution du code doit entraîner une mise à jour de ce document et des tests associés.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Documentation générée à partir du code source fourni  •  Version de référence : archive analysée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ÉVALMINIER  |  DOCUMENTATION FONCTIONNELLE ET TECHNIQUE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2304A"/>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76B6C"/>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230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