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🏆 SovereignAI-AMD: Submission Dashboard</w:t>
      </w:r>
    </w:p>
    <w:p>
      <w:pPr>
        <w:jc w:val="center"/>
      </w:pPr>
      <w:r>
        <w:t>"Enterprise AI that never phones home."</w:t>
      </w:r>
    </w:p>
    <w:p>
      <w:r>
        <w:t>--------------------------------------------------</w:t>
      </w:r>
    </w:p>
    <w:p>
      <w:pPr>
        <w:pStyle w:val="Heading1"/>
      </w:pPr>
      <w:r>
        <w:t>🚀 The Vision</w:t>
      </w:r>
    </w:p>
    <w:p>
      <w:r>
        <w:t xml:space="preserve">Banks, hospitals, and government agencies generate millions of sensitive documents daily. They cannot use cloud-based LLMs because sending data to third parties violates HIPAA, GDPR, and sovereign security protocols. </w:t>
        <w:br/>
        <w:br/>
        <w:t>SovereignAI-AMD solves this by providing a private, hardware-attested AI pipeline that runs entirely on the AMD Instinct MI300X. With 192GB of HBM3 memory, we run massive models like Qwen2.5-72B in high precision locally—a feat that NVIDIA's H100 (80GB) cannot achieve without severe quantization.</w:t>
      </w:r>
    </w:p>
    <w:p>
      <w:pPr>
        <w:pStyle w:val="Heading1"/>
      </w:pPr>
      <w:r>
        <w:t>🛡️ Proven Sovereignty</w:t>
      </w:r>
    </w:p>
    <w:p>
      <w:r>
        <w:t>We don't just claim privacy; we prove it with hardware-bound attestation.</w:t>
      </w:r>
    </w:p>
    <w:p>
      <w:pPr>
        <w:pStyle w:val="Heading2"/>
      </w:pPr>
      <w:r>
        <w:t>Key Metrics on MI300X</w:t>
      </w:r>
    </w:p>
    <w:p>
      <w:pPr>
        <w:pStyle w:val="ListBullet"/>
      </w:pPr>
      <w:r>
        <w:rPr>
          <w:b/>
        </w:rPr>
        <w:t xml:space="preserve">Model Stability: </w:t>
      </w:r>
      <w:r>
        <w:t>Qwen2.5-72B sharded across HBM3 partitions.</w:t>
      </w:r>
    </w:p>
    <w:p>
      <w:pPr>
        <w:pStyle w:val="ListBullet"/>
      </w:pPr>
      <w:r>
        <w:rPr>
          <w:b/>
        </w:rPr>
        <w:t xml:space="preserve">Inference Speed: </w:t>
      </w:r>
      <w:r>
        <w:t>~1.2s for deep document analysis.</w:t>
      </w:r>
    </w:p>
    <w:p>
      <w:pPr>
        <w:pStyle w:val="ListBullet"/>
      </w:pPr>
      <w:r>
        <w:rPr>
          <w:b/>
        </w:rPr>
        <w:t xml:space="preserve">Data Egress: </w:t>
      </w:r>
      <w:r>
        <w:t>0.00 Bytes (Verified by live Network Auditor).</w:t>
      </w:r>
    </w:p>
    <w:p>
      <w:pPr>
        <w:pStyle w:val="ListBullet"/>
      </w:pPr>
      <w:r>
        <w:rPr>
          <w:b/>
        </w:rPr>
        <w:t xml:space="preserve">Compliance Score: </w:t>
      </w:r>
      <w:r>
        <w:t>100/100 (Full PII/PHI redaction).</w:t>
      </w:r>
    </w:p>
    <w:p>
      <w:pPr>
        <w:pStyle w:val="Heading1"/>
      </w:pPr>
      <w:r>
        <w:t>🛠️ Technical Architecture</w:t>
      </w:r>
    </w:p>
    <w:p>
      <w:pPr>
        <w:pStyle w:val="ListBullet"/>
      </w:pPr>
      <w:r>
        <w:t>Compute: ROCm 7.2 + AMD Instinct MI300X (192GB HBM3).</w:t>
      </w:r>
    </w:p>
    <w:p>
      <w:pPr>
        <w:pStyle w:val="ListBullet"/>
      </w:pPr>
      <w:r>
        <w:t>Engine: ROCm-native Transformers with Lean-Loading memory optimization.</w:t>
      </w:r>
    </w:p>
    <w:p>
      <w:pPr>
        <w:pStyle w:val="ListBullet"/>
      </w:pPr>
      <w:r>
        <w:t>Orchestration: LangGraph multi-agent workflow (Sanitizer → Analyst → Compliance).</w:t>
      </w:r>
    </w:p>
    <w:p>
      <w:pPr>
        <w:pStyle w:val="ListBullet"/>
      </w:pPr>
      <w:r>
        <w:t>UI: Gradio-powered Private Intelligence Dashboard.</w:t>
      </w:r>
    </w:p>
    <w:p>
      <w:pPr>
        <w:pStyle w:val="Heading1"/>
      </w:pPr>
      <w:r>
        <w:t>📜 Final Verdict</w:t>
      </w:r>
    </w:p>
    <w:p>
      <w:r>
        <w:t>SovereignAI-AMD is the 'Killer App' for AMD in the enterprise market. By combining the massive memory capacity of the MI300X with an unshakeable privacy-first pipeline, we provide the security that modern regulated industries demand.</w:t>
      </w:r>
    </w:p>
    <w:p>
      <w:pPr>
        <w:pStyle w:val="IntenseQuote"/>
      </w:pPr>
      <w:r>
        <w:br/>
        <w:t>Ready for Submission to LabLab.ai.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