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C5E94" w14:textId="611E6CDA" w:rsidR="002C1EB1" w:rsidRDefault="00091ED0" w:rsidP="002C1EB1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 w:rsidRPr="00091ED0">
        <w:rPr>
          <w:rFonts w:asciiTheme="minorHAnsi" w:hAnsiTheme="minorHAnsi" w:cstheme="minorHAnsi"/>
          <w:color w:val="000000"/>
        </w:rPr>
        <w:t xml:space="preserve">The global COVID 19 pandemic </w:t>
      </w:r>
      <w:proofErr w:type="gramStart"/>
      <w:r w:rsidR="004B0E07">
        <w:rPr>
          <w:rFonts w:asciiTheme="minorHAnsi" w:hAnsiTheme="minorHAnsi" w:cstheme="minorHAnsi"/>
          <w:color w:val="000000"/>
        </w:rPr>
        <w:t>crisis</w:t>
      </w:r>
      <w:proofErr w:type="gramEnd"/>
      <w:r w:rsidR="002C1EB1">
        <w:rPr>
          <w:rFonts w:asciiTheme="minorHAnsi" w:hAnsiTheme="minorHAnsi" w:cstheme="minorHAnsi"/>
          <w:color w:val="000000"/>
        </w:rPr>
        <w:t xml:space="preserve"> </w:t>
      </w:r>
      <w:r w:rsidRPr="00091ED0">
        <w:rPr>
          <w:rFonts w:asciiTheme="minorHAnsi" w:hAnsiTheme="minorHAnsi" w:cstheme="minorHAnsi"/>
          <w:color w:val="000000"/>
        </w:rPr>
        <w:t xml:space="preserve">has proved to be a catalyst for change for organizations. Businesses have been spurred to continue investing more in </w:t>
      </w:r>
      <w:r w:rsidR="002C1EB1" w:rsidRPr="00CE0A35">
        <w:rPr>
          <w:rFonts w:asciiTheme="minorHAnsi" w:hAnsiTheme="minorHAnsi" w:cstheme="minorHAnsi"/>
          <w:b/>
          <w:bCs/>
          <w:color w:val="000000"/>
        </w:rPr>
        <w:t>IT budget</w:t>
      </w:r>
      <w:r w:rsidRPr="00091ED0">
        <w:rPr>
          <w:rFonts w:asciiTheme="minorHAnsi" w:hAnsiTheme="minorHAnsi" w:cstheme="minorHAnsi"/>
          <w:color w:val="000000"/>
        </w:rPr>
        <w:t xml:space="preserve"> to secure and support their remote workforce</w:t>
      </w:r>
      <w:r w:rsidR="002C1EB1">
        <w:rPr>
          <w:rFonts w:asciiTheme="minorHAnsi" w:hAnsiTheme="minorHAnsi" w:cstheme="minorHAnsi"/>
          <w:color w:val="000000"/>
        </w:rPr>
        <w:t xml:space="preserve"> operations</w:t>
      </w:r>
      <w:r w:rsidRPr="00091ED0">
        <w:rPr>
          <w:rFonts w:asciiTheme="minorHAnsi" w:hAnsiTheme="minorHAnsi" w:cstheme="minorHAnsi"/>
          <w:color w:val="000000"/>
        </w:rPr>
        <w:t xml:space="preserve"> in spite of slow revenue growth due to the pandemic.</w:t>
      </w:r>
    </w:p>
    <w:p w14:paraId="524F8A17" w14:textId="22CB76E5" w:rsidR="002C1EB1" w:rsidRDefault="002C1EB1" w:rsidP="002C1EB1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According to a survey of more than 1,000 businesses by </w:t>
      </w:r>
      <w:hyperlink r:id="rId5" w:history="1">
        <w:r w:rsidRPr="00535C1B">
          <w:rPr>
            <w:rStyle w:val="Hyperlink"/>
            <w:rFonts w:asciiTheme="minorHAnsi" w:hAnsiTheme="minorHAnsi" w:cstheme="minorHAnsi"/>
          </w:rPr>
          <w:t>Spiceworks Ziff Davis</w:t>
        </w:r>
      </w:hyperlink>
      <w:r>
        <w:rPr>
          <w:rFonts w:asciiTheme="minorHAnsi" w:hAnsiTheme="minorHAnsi" w:cstheme="minorHAnsi"/>
          <w:color w:val="000000"/>
        </w:rPr>
        <w:t xml:space="preserve">, 76 percent of them plan on implementing long-term IT changes in their IT budget and 44 percent plan on accelerating their </w:t>
      </w:r>
      <w:r w:rsidRPr="00CE0A35">
        <w:rPr>
          <w:rFonts w:asciiTheme="minorHAnsi" w:hAnsiTheme="minorHAnsi" w:cstheme="minorHAnsi"/>
          <w:b/>
          <w:bCs/>
          <w:color w:val="000000"/>
        </w:rPr>
        <w:t>digital transformation</w:t>
      </w:r>
      <w:r>
        <w:rPr>
          <w:rFonts w:asciiTheme="minorHAnsi" w:hAnsiTheme="minorHAnsi" w:cstheme="minorHAnsi"/>
          <w:color w:val="000000"/>
        </w:rPr>
        <w:t xml:space="preserve"> plans. It also indicates that more than one-third of IT budget increases in 2021 will be influenced by COVID-19. </w:t>
      </w:r>
    </w:p>
    <w:p w14:paraId="6C2660B0" w14:textId="57A1AD8D" w:rsidR="000C77AB" w:rsidRDefault="000C77AB" w:rsidP="002C1EB1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Businesses are also expected to increase their </w:t>
      </w:r>
      <w:r w:rsidR="00CE0A35" w:rsidRPr="00CE0A35">
        <w:rPr>
          <w:rFonts w:asciiTheme="minorHAnsi" w:hAnsiTheme="minorHAnsi" w:cstheme="minorHAnsi"/>
          <w:b/>
          <w:bCs/>
          <w:color w:val="000000"/>
        </w:rPr>
        <w:t xml:space="preserve">IT </w:t>
      </w:r>
      <w:r w:rsidRPr="00CE0A35">
        <w:rPr>
          <w:rFonts w:asciiTheme="minorHAnsi" w:hAnsiTheme="minorHAnsi" w:cstheme="minorHAnsi"/>
          <w:b/>
          <w:bCs/>
          <w:color w:val="000000"/>
        </w:rPr>
        <w:t xml:space="preserve">spending </w:t>
      </w:r>
      <w:r>
        <w:rPr>
          <w:rFonts w:asciiTheme="minorHAnsi" w:hAnsiTheme="minorHAnsi" w:cstheme="minorHAnsi"/>
          <w:color w:val="000000"/>
        </w:rPr>
        <w:t xml:space="preserve">on </w:t>
      </w:r>
      <w:r w:rsidR="00CE0A35">
        <w:rPr>
          <w:rFonts w:asciiTheme="minorHAnsi" w:hAnsiTheme="minorHAnsi" w:cstheme="minorHAnsi"/>
          <w:color w:val="000000"/>
        </w:rPr>
        <w:t xml:space="preserve">their IT assets such as </w:t>
      </w:r>
      <w:r>
        <w:rPr>
          <w:rFonts w:asciiTheme="minorHAnsi" w:hAnsiTheme="minorHAnsi" w:cstheme="minorHAnsi"/>
          <w:color w:val="000000"/>
        </w:rPr>
        <w:t xml:space="preserve">cloud and managed services, while hardware spending in 2021 is anticipated to decline. Moreover, </w:t>
      </w:r>
      <w:r w:rsidR="00E95C71">
        <w:rPr>
          <w:rFonts w:asciiTheme="minorHAnsi" w:hAnsiTheme="minorHAnsi" w:cstheme="minorHAnsi"/>
          <w:color w:val="000000"/>
        </w:rPr>
        <w:t>many</w:t>
      </w:r>
      <w:r>
        <w:rPr>
          <w:rFonts w:asciiTheme="minorHAnsi" w:hAnsiTheme="minorHAnsi" w:cstheme="minorHAnsi"/>
          <w:color w:val="000000"/>
        </w:rPr>
        <w:t xml:space="preserve"> have dropped their plans to adopt cutting edge technologies</w:t>
      </w:r>
      <w:r w:rsidR="00E95C71">
        <w:rPr>
          <w:rFonts w:asciiTheme="minorHAnsi" w:hAnsiTheme="minorHAnsi" w:cstheme="minorHAnsi"/>
          <w:color w:val="000000"/>
        </w:rPr>
        <w:t xml:space="preserve"> in favor of investing in more pressing needs. </w:t>
      </w:r>
    </w:p>
    <w:p w14:paraId="2BCAB263" w14:textId="4490DA87" w:rsidR="002C1EB1" w:rsidRPr="004C23AC" w:rsidRDefault="004C23AC" w:rsidP="002C1EB1">
      <w:pPr>
        <w:pStyle w:val="NormalWeb"/>
        <w:spacing w:before="0" w:before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4C23AC">
        <w:rPr>
          <w:rFonts w:asciiTheme="minorHAnsi" w:hAnsiTheme="minorHAnsi" w:cstheme="minorHAnsi"/>
          <w:b/>
          <w:bCs/>
          <w:color w:val="000000"/>
        </w:rPr>
        <w:t xml:space="preserve">IT Budgeting in 2021: Remote Working to Drive Spending </w:t>
      </w:r>
    </w:p>
    <w:p w14:paraId="281749A8" w14:textId="480D6CBD" w:rsidR="002C1EB1" w:rsidRDefault="00053F3D" w:rsidP="002C1EB1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As data forecasting suggests, growing concerns over security and old IT infrastructure </w:t>
      </w:r>
      <w:r w:rsidR="00361227">
        <w:rPr>
          <w:rFonts w:asciiTheme="minorHAnsi" w:hAnsiTheme="minorHAnsi" w:cstheme="minorHAnsi"/>
          <w:color w:val="000000"/>
        </w:rPr>
        <w:t xml:space="preserve">will be the key drivers of budget growth in 2021. But as more than half of organizations plan to retain their work-from-home policies for the next year, a major part of </w:t>
      </w:r>
      <w:r w:rsidR="00361227" w:rsidRPr="00361227">
        <w:rPr>
          <w:rFonts w:asciiTheme="minorHAnsi" w:hAnsiTheme="minorHAnsi" w:cstheme="minorHAnsi"/>
          <w:b/>
          <w:bCs/>
          <w:color w:val="000000"/>
        </w:rPr>
        <w:t>IT spending</w:t>
      </w:r>
      <w:r w:rsidR="00361227">
        <w:rPr>
          <w:rFonts w:asciiTheme="minorHAnsi" w:hAnsiTheme="minorHAnsi" w:cstheme="minorHAnsi"/>
          <w:color w:val="000000"/>
        </w:rPr>
        <w:t xml:space="preserve"> will be based on remote work practices. </w:t>
      </w:r>
    </w:p>
    <w:p w14:paraId="76324277" w14:textId="2F19A5DC" w:rsidR="00850025" w:rsidRDefault="00091ED0" w:rsidP="0085002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091ED0">
        <w:rPr>
          <w:rFonts w:asciiTheme="minorHAnsi" w:hAnsiTheme="minorHAnsi" w:cstheme="minorHAnsi"/>
          <w:color w:val="000000"/>
        </w:rPr>
        <w:t xml:space="preserve"> </w:t>
      </w:r>
      <w:r w:rsidR="00850025">
        <w:rPr>
          <w:rFonts w:asciiTheme="minorHAnsi" w:hAnsiTheme="minorHAnsi" w:cstheme="minorHAnsi"/>
          <w:color w:val="000000"/>
        </w:rPr>
        <w:t xml:space="preserve">Among the businesses that intend to increase their IT spending in 2021, these factors will impact their </w:t>
      </w:r>
      <w:r w:rsidR="00850025" w:rsidRPr="004B0E07">
        <w:rPr>
          <w:rFonts w:asciiTheme="minorHAnsi" w:hAnsiTheme="minorHAnsi" w:cstheme="minorHAnsi"/>
          <w:b/>
          <w:bCs/>
          <w:color w:val="000000"/>
        </w:rPr>
        <w:t>budget growth</w:t>
      </w:r>
      <w:r w:rsidR="00850025">
        <w:rPr>
          <w:rFonts w:asciiTheme="minorHAnsi" w:hAnsiTheme="minorHAnsi" w:cstheme="minorHAnsi"/>
          <w:color w:val="000000"/>
        </w:rPr>
        <w:t xml:space="preserve"> during the next year</w:t>
      </w:r>
    </w:p>
    <w:p w14:paraId="05FCB20F" w14:textId="0B61C63B" w:rsidR="00850025" w:rsidRDefault="00850025" w:rsidP="0085002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Changes to business operations during COVID 19 (38%)</w:t>
      </w:r>
    </w:p>
    <w:p w14:paraId="40FE89B2" w14:textId="3E9E2445" w:rsidR="00850025" w:rsidRDefault="00850025" w:rsidP="0085002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Increased priority over IT projects (45%)</w:t>
      </w:r>
    </w:p>
    <w:p w14:paraId="53E2443B" w14:textId="6B4B2E08" w:rsidR="00850025" w:rsidRDefault="00850025" w:rsidP="0085002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need for supporting a remote workforce (36%)</w:t>
      </w:r>
    </w:p>
    <w:p w14:paraId="6B2EF39C" w14:textId="64B73F75" w:rsidR="006B71C5" w:rsidRDefault="006B71C5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650A4CFC" w14:textId="5BE2A2F4" w:rsidR="00767C11" w:rsidRDefault="00767C11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Software Budgeting</w:t>
      </w:r>
    </w:p>
    <w:p w14:paraId="20926035" w14:textId="77777777" w:rsidR="0033102E" w:rsidRDefault="0033102E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56865047" w14:textId="77777777" w:rsidR="002B4A2B" w:rsidRDefault="0067405F" w:rsidP="00D81BE7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As businesses all over the world continue to plan on supporting remote workforce culture in 2021, it is anticipated that the highest spending category will be that of </w:t>
      </w:r>
      <w:r w:rsidRPr="0033102E">
        <w:rPr>
          <w:rFonts w:asciiTheme="minorHAnsi" w:hAnsiTheme="minorHAnsi" w:cstheme="minorHAnsi"/>
          <w:b/>
          <w:bCs/>
          <w:color w:val="000000"/>
        </w:rPr>
        <w:t>productivity software</w:t>
      </w:r>
      <w:r>
        <w:rPr>
          <w:rFonts w:asciiTheme="minorHAnsi" w:hAnsiTheme="minorHAnsi" w:cstheme="minorHAnsi"/>
          <w:color w:val="000000"/>
        </w:rPr>
        <w:t>, amounting to 12% spending and increasing to a great extent over the next two years.</w:t>
      </w:r>
    </w:p>
    <w:p w14:paraId="235D1633" w14:textId="1E087220" w:rsidR="009C2A01" w:rsidRDefault="00D81BE7" w:rsidP="00D81BE7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When analyzing </w:t>
      </w:r>
      <w:r w:rsidR="00E4671D">
        <w:rPr>
          <w:rFonts w:asciiTheme="minorHAnsi" w:hAnsiTheme="minorHAnsi" w:cstheme="minorHAnsi"/>
          <w:color w:val="000000"/>
        </w:rPr>
        <w:t>business size</w:t>
      </w:r>
      <w:r>
        <w:rPr>
          <w:rFonts w:asciiTheme="minorHAnsi" w:hAnsiTheme="minorHAnsi" w:cstheme="minorHAnsi"/>
          <w:color w:val="000000"/>
        </w:rPr>
        <w:t>, smaller companies will allocate their software budget more on productivity software and industry-specific apps – for instance education (distance-learning apps) and health sector (electronic medical records).</w:t>
      </w:r>
      <w:r w:rsidR="00E4671D">
        <w:rPr>
          <w:rFonts w:asciiTheme="minorHAnsi" w:hAnsiTheme="minorHAnsi" w:cstheme="minorHAnsi"/>
          <w:color w:val="000000"/>
        </w:rPr>
        <w:t xml:space="preserve"> On the other hand, larger companies looking to establish a distributed workforce will tend to spend more of their software budget on </w:t>
      </w:r>
      <w:r w:rsidR="00E4671D" w:rsidRPr="0033102E">
        <w:rPr>
          <w:rFonts w:asciiTheme="minorHAnsi" w:hAnsiTheme="minorHAnsi" w:cstheme="minorHAnsi"/>
          <w:b/>
          <w:bCs/>
          <w:color w:val="000000"/>
        </w:rPr>
        <w:t>communications software</w:t>
      </w:r>
      <w:r w:rsidR="00E4671D">
        <w:rPr>
          <w:rFonts w:asciiTheme="minorHAnsi" w:hAnsiTheme="minorHAnsi" w:cstheme="minorHAnsi"/>
          <w:color w:val="000000"/>
        </w:rPr>
        <w:t xml:space="preserve"> (8%). </w:t>
      </w:r>
    </w:p>
    <w:p w14:paraId="450EF8E9" w14:textId="56281300" w:rsidR="006C30F3" w:rsidRPr="0067405F" w:rsidRDefault="006C30F3" w:rsidP="00D81BE7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When considering locations, businesses in the North Americ</w:t>
      </w:r>
      <w:r w:rsidR="003B75FB">
        <w:rPr>
          <w:rFonts w:asciiTheme="minorHAnsi" w:hAnsiTheme="minorHAnsi" w:cstheme="minorHAnsi"/>
          <w:color w:val="000000"/>
        </w:rPr>
        <w:t xml:space="preserve">an region </w:t>
      </w:r>
      <w:r>
        <w:rPr>
          <w:rFonts w:asciiTheme="minorHAnsi" w:hAnsiTheme="minorHAnsi" w:cstheme="minorHAnsi"/>
          <w:color w:val="000000"/>
        </w:rPr>
        <w:t xml:space="preserve">are </w:t>
      </w:r>
      <w:r w:rsidR="003B75FB">
        <w:rPr>
          <w:rFonts w:asciiTheme="minorHAnsi" w:hAnsiTheme="minorHAnsi" w:cstheme="minorHAnsi"/>
          <w:color w:val="000000"/>
        </w:rPr>
        <w:t>anticipated</w:t>
      </w:r>
      <w:r>
        <w:rPr>
          <w:rFonts w:asciiTheme="minorHAnsi" w:hAnsiTheme="minorHAnsi" w:cstheme="minorHAnsi"/>
          <w:color w:val="000000"/>
        </w:rPr>
        <w:t xml:space="preserve"> to spend a higher proportion</w:t>
      </w:r>
      <w:r w:rsidR="003B75FB">
        <w:rPr>
          <w:rFonts w:asciiTheme="minorHAnsi" w:hAnsiTheme="minorHAnsi" w:cstheme="minorHAnsi"/>
          <w:color w:val="000000"/>
        </w:rPr>
        <w:t xml:space="preserve"> of</w:t>
      </w:r>
      <w:r>
        <w:rPr>
          <w:rFonts w:asciiTheme="minorHAnsi" w:hAnsiTheme="minorHAnsi" w:cstheme="minorHAnsi"/>
          <w:color w:val="000000"/>
        </w:rPr>
        <w:t xml:space="preserve"> their IT budgets on productivity software</w:t>
      </w:r>
      <w:r w:rsidR="003B75FB">
        <w:rPr>
          <w:rFonts w:asciiTheme="minorHAnsi" w:hAnsiTheme="minorHAnsi" w:cstheme="minorHAnsi"/>
          <w:color w:val="000000"/>
        </w:rPr>
        <w:t xml:space="preserve">, business support applications like </w:t>
      </w:r>
      <w:r w:rsidR="003B75FB" w:rsidRPr="0033102E">
        <w:rPr>
          <w:rFonts w:asciiTheme="minorHAnsi" w:hAnsiTheme="minorHAnsi" w:cstheme="minorHAnsi"/>
          <w:b/>
          <w:bCs/>
          <w:color w:val="000000"/>
        </w:rPr>
        <w:t>IT monitoring tools</w:t>
      </w:r>
      <w:r w:rsidR="003B75FB">
        <w:rPr>
          <w:rFonts w:asciiTheme="minorHAnsi" w:hAnsiTheme="minorHAnsi" w:cstheme="minorHAnsi"/>
          <w:color w:val="000000"/>
        </w:rPr>
        <w:t xml:space="preserve"> and industry-specific apps as compared to businesses in the European region.</w:t>
      </w:r>
      <w:r w:rsidR="001A54F9">
        <w:rPr>
          <w:rFonts w:asciiTheme="minorHAnsi" w:hAnsiTheme="minorHAnsi" w:cstheme="minorHAnsi"/>
          <w:color w:val="000000"/>
        </w:rPr>
        <w:t xml:space="preserve"> European businesses are likely to spend more on communications and virtualization software. </w:t>
      </w:r>
      <w:r w:rsidR="003B75FB">
        <w:rPr>
          <w:rFonts w:asciiTheme="minorHAnsi" w:hAnsiTheme="minorHAnsi" w:cstheme="minorHAnsi"/>
          <w:color w:val="000000"/>
        </w:rPr>
        <w:t xml:space="preserve"> </w:t>
      </w:r>
    </w:p>
    <w:p w14:paraId="3D3B8E17" w14:textId="2A818482" w:rsidR="00767C11" w:rsidRDefault="005257DD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lastRenderedPageBreak/>
        <w:t>Cloud Budgeting</w:t>
      </w:r>
    </w:p>
    <w:p w14:paraId="45C52BFE" w14:textId="77777777" w:rsidR="0033102E" w:rsidRDefault="0033102E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6FC6E3F7" w14:textId="38359507" w:rsidR="005257DD" w:rsidRDefault="00BF5761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Cloud budgets in the past two years had a three percent increase in overall IT budget whereas hardware budget has reduced by four percent. This growth has paved the way for adopting communications solutions, </w:t>
      </w:r>
      <w:r w:rsidRPr="00393DD6">
        <w:rPr>
          <w:rFonts w:asciiTheme="minorHAnsi" w:hAnsiTheme="minorHAnsi" w:cstheme="minorHAnsi"/>
          <w:b/>
          <w:bCs/>
          <w:color w:val="000000"/>
        </w:rPr>
        <w:t>cloud storage</w:t>
      </w:r>
      <w:r>
        <w:rPr>
          <w:rFonts w:asciiTheme="minorHAnsi" w:hAnsiTheme="minorHAnsi" w:cstheme="minorHAnsi"/>
          <w:color w:val="000000"/>
        </w:rPr>
        <w:t xml:space="preserve"> and productivity apps. These are all relevant to a work-from home environment.</w:t>
      </w:r>
    </w:p>
    <w:p w14:paraId="7AA2FAA4" w14:textId="77777777" w:rsidR="0033102E" w:rsidRDefault="0033102E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0B63D9F3" w14:textId="6D74F8E8" w:rsidR="00BF5761" w:rsidRDefault="00BF5761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In </w:t>
      </w:r>
      <w:r w:rsidR="006E6B1C">
        <w:rPr>
          <w:rFonts w:asciiTheme="minorHAnsi" w:hAnsiTheme="minorHAnsi" w:cstheme="minorHAnsi"/>
          <w:color w:val="000000"/>
        </w:rPr>
        <w:t xml:space="preserve">2021 though, online productivity and </w:t>
      </w:r>
      <w:r w:rsidR="006E6B1C" w:rsidRPr="00393DD6">
        <w:rPr>
          <w:rFonts w:asciiTheme="minorHAnsi" w:hAnsiTheme="minorHAnsi" w:cstheme="minorHAnsi"/>
          <w:b/>
          <w:bCs/>
          <w:color w:val="000000"/>
        </w:rPr>
        <w:t>backup and recovery software</w:t>
      </w:r>
      <w:r w:rsidR="006E6B1C">
        <w:rPr>
          <w:rFonts w:asciiTheme="minorHAnsi" w:hAnsiTheme="minorHAnsi" w:cstheme="minorHAnsi"/>
          <w:color w:val="000000"/>
        </w:rPr>
        <w:t xml:space="preserve"> will take the top place in cloud budgeting. This expected growth in spending on cloud for business transformation can be directly attributed to the coronavirus crisis.</w:t>
      </w:r>
      <w:r w:rsidR="00D23E9C">
        <w:rPr>
          <w:rFonts w:asciiTheme="minorHAnsi" w:hAnsiTheme="minorHAnsi" w:cstheme="minorHAnsi"/>
          <w:color w:val="000000"/>
        </w:rPr>
        <w:t xml:space="preserve"> Around 17 percent of organizations are planning to adopt “as-a-service” model due to coronavirus. </w:t>
      </w:r>
    </w:p>
    <w:p w14:paraId="3B7DD9F0" w14:textId="661E9730" w:rsidR="00D23E9C" w:rsidRDefault="00D23E9C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3E9B05D2" w14:textId="6BA21EE2" w:rsidR="00D23E9C" w:rsidRDefault="00D23E9C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Another 35 percent already have or are planning to migrate their workload to the cloud due to the coronavirus pandemic. Moreover, bigger companies or enterprises still plan to allocate a bigger portion of their IT budget to </w:t>
      </w:r>
      <w:r w:rsidRPr="00393DD6">
        <w:rPr>
          <w:rFonts w:asciiTheme="minorHAnsi" w:hAnsiTheme="minorHAnsi" w:cstheme="minorHAnsi"/>
          <w:b/>
          <w:bCs/>
          <w:color w:val="000000"/>
        </w:rPr>
        <w:t>desktop-as-a-service</w:t>
      </w:r>
      <w:r>
        <w:rPr>
          <w:rFonts w:asciiTheme="minorHAnsi" w:hAnsiTheme="minorHAnsi" w:cstheme="minorHAnsi"/>
          <w:color w:val="000000"/>
        </w:rPr>
        <w:t xml:space="preserve"> and platform-as-a-service as compared to smaller businesses. </w:t>
      </w:r>
    </w:p>
    <w:p w14:paraId="4587B338" w14:textId="410E8472" w:rsidR="00E7702E" w:rsidRDefault="00E7702E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64FBCF78" w14:textId="726954A2" w:rsidR="00E7702E" w:rsidRDefault="00E7702E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Organizations in the IT industry who are often seen as early adopters </w:t>
      </w:r>
      <w:r w:rsidR="0069695E">
        <w:rPr>
          <w:rFonts w:asciiTheme="minorHAnsi" w:hAnsiTheme="minorHAnsi" w:cstheme="minorHAnsi"/>
          <w:color w:val="000000"/>
        </w:rPr>
        <w:t>can be seen spending a major portion</w:t>
      </w:r>
      <w:r>
        <w:rPr>
          <w:rFonts w:asciiTheme="minorHAnsi" w:hAnsiTheme="minorHAnsi" w:cstheme="minorHAnsi"/>
          <w:color w:val="000000"/>
        </w:rPr>
        <w:t xml:space="preserve"> of their budget on </w:t>
      </w:r>
      <w:r w:rsidR="0069695E" w:rsidRPr="00393DD6">
        <w:rPr>
          <w:rFonts w:asciiTheme="minorHAnsi" w:hAnsiTheme="minorHAnsi" w:cstheme="minorHAnsi"/>
          <w:b/>
          <w:bCs/>
          <w:color w:val="000000"/>
        </w:rPr>
        <w:t>cloud budgeting</w:t>
      </w:r>
      <w:r w:rsidR="0069695E">
        <w:rPr>
          <w:rFonts w:asciiTheme="minorHAnsi" w:hAnsiTheme="minorHAnsi" w:cstheme="minorHAnsi"/>
          <w:color w:val="000000"/>
        </w:rPr>
        <w:t>, most of which will be spent on Infrastructure-as-a-service. Hence</w:t>
      </w:r>
      <w:r w:rsidR="00393DD6">
        <w:rPr>
          <w:rFonts w:asciiTheme="minorHAnsi" w:hAnsiTheme="minorHAnsi" w:cstheme="minorHAnsi"/>
          <w:color w:val="000000"/>
        </w:rPr>
        <w:t>,</w:t>
      </w:r>
      <w:r w:rsidR="0069695E">
        <w:rPr>
          <w:rFonts w:asciiTheme="minorHAnsi" w:hAnsiTheme="minorHAnsi" w:cstheme="minorHAnsi"/>
          <w:color w:val="000000"/>
        </w:rPr>
        <w:t xml:space="preserve"> cloud will take up a major portion of the IT budget in the next year. </w:t>
      </w:r>
    </w:p>
    <w:p w14:paraId="01F3CDB9" w14:textId="01E0D984" w:rsidR="006E6B1C" w:rsidRPr="008965F1" w:rsidRDefault="006E6B1C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2A055E71" w14:textId="4DE0C68F" w:rsidR="008965F1" w:rsidRDefault="008965F1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8965F1">
        <w:rPr>
          <w:rFonts w:asciiTheme="minorHAnsi" w:hAnsiTheme="minorHAnsi" w:cstheme="minorHAnsi"/>
          <w:b/>
          <w:bCs/>
          <w:color w:val="000000"/>
        </w:rPr>
        <w:t>Managed Services Budget</w:t>
      </w:r>
    </w:p>
    <w:p w14:paraId="432E3198" w14:textId="77777777" w:rsidR="00393DD6" w:rsidRDefault="00393DD6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6AC3D70B" w14:textId="500E69A1" w:rsidR="008965F1" w:rsidRPr="004E5EBD" w:rsidRDefault="004E5EBD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Managed hardware support, </w:t>
      </w:r>
      <w:r w:rsidRPr="00393DD6">
        <w:rPr>
          <w:rFonts w:asciiTheme="minorHAnsi" w:hAnsiTheme="minorHAnsi" w:cstheme="minorHAnsi"/>
          <w:b/>
          <w:bCs/>
          <w:color w:val="000000"/>
        </w:rPr>
        <w:t>managed hosting and storage/backup</w:t>
      </w:r>
      <w:r>
        <w:rPr>
          <w:rFonts w:asciiTheme="minorHAnsi" w:hAnsiTheme="minorHAnsi" w:cstheme="minorHAnsi"/>
          <w:color w:val="000000"/>
        </w:rPr>
        <w:t xml:space="preserve"> will take the largest spending of managed services share. As security concerns have increased due to remote work, managed security services will also be a priority for businesses. Managed cloud infrastructure will also be a key area for IT budgets in the managed services.  </w:t>
      </w:r>
    </w:p>
    <w:p w14:paraId="510156AA" w14:textId="53F7161C" w:rsidR="008965F1" w:rsidRDefault="008965F1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49181B18" w14:textId="5E315F4C" w:rsidR="004E5EBD" w:rsidRDefault="00753962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According to size of businesses, the </w:t>
      </w:r>
      <w:r w:rsidRPr="00393DD6">
        <w:rPr>
          <w:rFonts w:asciiTheme="minorHAnsi" w:hAnsiTheme="minorHAnsi" w:cstheme="minorHAnsi"/>
          <w:b/>
          <w:bCs/>
          <w:color w:val="000000"/>
        </w:rPr>
        <w:t>forecast chart</w:t>
      </w:r>
      <w:r>
        <w:rPr>
          <w:rFonts w:asciiTheme="minorHAnsi" w:hAnsiTheme="minorHAnsi" w:cstheme="minorHAnsi"/>
          <w:color w:val="000000"/>
        </w:rPr>
        <w:t xml:space="preserve"> suggest</w:t>
      </w:r>
      <w:r w:rsidR="00393DD6">
        <w:rPr>
          <w:rFonts w:asciiTheme="minorHAnsi" w:hAnsiTheme="minorHAnsi" w:cstheme="minorHAnsi"/>
          <w:color w:val="000000"/>
        </w:rPr>
        <w:t>s</w:t>
      </w:r>
      <w:r>
        <w:rPr>
          <w:rFonts w:asciiTheme="minorHAnsi" w:hAnsiTheme="minorHAnsi" w:cstheme="minorHAnsi"/>
          <w:color w:val="000000"/>
        </w:rPr>
        <w:t xml:space="preserve"> that smaller businesses will assign a significant portion of their managed services budget for managed hosting as opposed to mid-sized businesses. Large enterprises on the other hand should assign higher percentage of their IT budget on managed cloud infrastructure, which is 3% more than smaller businesses. </w:t>
      </w:r>
    </w:p>
    <w:p w14:paraId="155605E6" w14:textId="202D0A92" w:rsidR="00753962" w:rsidRDefault="00753962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7AFB377C" w14:textId="69223834" w:rsidR="00753962" w:rsidRDefault="00753962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753962">
        <w:rPr>
          <w:rFonts w:asciiTheme="minorHAnsi" w:hAnsiTheme="minorHAnsi" w:cstheme="minorHAnsi"/>
          <w:b/>
          <w:bCs/>
          <w:color w:val="000000"/>
        </w:rPr>
        <w:t>Miscellaneous Factors that will Influence the Setting Up of IT Budget for 2021</w:t>
      </w:r>
    </w:p>
    <w:p w14:paraId="60D300ED" w14:textId="19D75C5E" w:rsidR="00F06DAE" w:rsidRDefault="00F06DAE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75FF3492" w14:textId="030572D7" w:rsidR="00F06DAE" w:rsidRDefault="00C14B76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We now already know how the global pandemic has caused a shift in IT budget planning of businesses in 2021. There are factors that </w:t>
      </w:r>
      <w:r w:rsidR="00770036">
        <w:rPr>
          <w:rFonts w:asciiTheme="minorHAnsi" w:hAnsiTheme="minorHAnsi" w:cstheme="minorHAnsi"/>
          <w:color w:val="000000"/>
        </w:rPr>
        <w:t xml:space="preserve">have and will cause businesses to invest in new software, hardware and IT services. Generally, </w:t>
      </w:r>
      <w:r w:rsidR="000A3027">
        <w:rPr>
          <w:rFonts w:asciiTheme="minorHAnsi" w:hAnsiTheme="minorHAnsi" w:cstheme="minorHAnsi"/>
          <w:color w:val="000000"/>
        </w:rPr>
        <w:t xml:space="preserve">IT asset management including </w:t>
      </w:r>
      <w:r w:rsidR="00770036" w:rsidRPr="00393DD6">
        <w:rPr>
          <w:rFonts w:asciiTheme="minorHAnsi" w:hAnsiTheme="minorHAnsi" w:cstheme="minorHAnsi"/>
          <w:b/>
          <w:bCs/>
          <w:color w:val="000000"/>
        </w:rPr>
        <w:t>technology upgrades</w:t>
      </w:r>
      <w:r w:rsidR="000A3027">
        <w:rPr>
          <w:rFonts w:asciiTheme="minorHAnsi" w:hAnsiTheme="minorHAnsi" w:cstheme="minorHAnsi"/>
          <w:color w:val="000000"/>
        </w:rPr>
        <w:t xml:space="preserve"> </w:t>
      </w:r>
      <w:r w:rsidR="00770036">
        <w:rPr>
          <w:rFonts w:asciiTheme="minorHAnsi" w:hAnsiTheme="minorHAnsi" w:cstheme="minorHAnsi"/>
          <w:color w:val="000000"/>
        </w:rPr>
        <w:t xml:space="preserve">and business growth will be key drivers for technology investment. </w:t>
      </w:r>
    </w:p>
    <w:p w14:paraId="39629CA8" w14:textId="77777777" w:rsidR="00286F48" w:rsidRDefault="00286F48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0B6D2A8B" w14:textId="4221DCE1" w:rsidR="000A3027" w:rsidRDefault="000A3027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At the same time</w:t>
      </w:r>
      <w:r w:rsidR="00286F48">
        <w:rPr>
          <w:rFonts w:asciiTheme="minorHAnsi" w:hAnsiTheme="minorHAnsi" w:cstheme="minorHAnsi"/>
          <w:color w:val="000000"/>
        </w:rPr>
        <w:t xml:space="preserve">, many businesses have planned to allocate their previous funding to enable </w:t>
      </w:r>
      <w:r w:rsidR="00286F48" w:rsidRPr="00393DD6">
        <w:rPr>
          <w:rFonts w:asciiTheme="minorHAnsi" w:hAnsiTheme="minorHAnsi" w:cstheme="minorHAnsi"/>
          <w:b/>
          <w:bCs/>
          <w:color w:val="000000"/>
        </w:rPr>
        <w:t>remote work initiatives</w:t>
      </w:r>
      <w:r w:rsidR="00286F48">
        <w:rPr>
          <w:rFonts w:asciiTheme="minorHAnsi" w:hAnsiTheme="minorHAnsi" w:cstheme="minorHAnsi"/>
          <w:color w:val="000000"/>
        </w:rPr>
        <w:t xml:space="preserve">. The year 2021 will not see as much adoption of emerging technologies as it would have been previously anticipated, nor </w:t>
      </w:r>
      <w:r w:rsidR="00E26F12">
        <w:rPr>
          <w:rFonts w:asciiTheme="minorHAnsi" w:hAnsiTheme="minorHAnsi" w:cstheme="minorHAnsi"/>
          <w:color w:val="000000"/>
        </w:rPr>
        <w:t xml:space="preserve">will there be much interest to invest in software and hardware upgrades due to new features availability. </w:t>
      </w:r>
    </w:p>
    <w:p w14:paraId="28238320" w14:textId="60DDBEFD" w:rsidR="00E668DF" w:rsidRDefault="00E668DF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35F4DFA1" w14:textId="2721C09A" w:rsidR="00E668DF" w:rsidRDefault="00E668DF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E668DF">
        <w:rPr>
          <w:rFonts w:asciiTheme="minorHAnsi" w:hAnsiTheme="minorHAnsi" w:cstheme="minorHAnsi"/>
          <w:b/>
          <w:bCs/>
          <w:color w:val="000000"/>
        </w:rPr>
        <w:t>Planning Your IT Budget</w:t>
      </w:r>
    </w:p>
    <w:p w14:paraId="54E68D31" w14:textId="77777777" w:rsidR="00393DD6" w:rsidRDefault="00393DD6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7E8FF3FE" w14:textId="33C416E4" w:rsidR="00E668DF" w:rsidRDefault="00E668DF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For planning your IT budget in 2021, its more important than ever to identify your </w:t>
      </w:r>
      <w:r w:rsidRPr="00393DD6">
        <w:rPr>
          <w:rFonts w:asciiTheme="minorHAnsi" w:hAnsiTheme="minorHAnsi" w:cstheme="minorHAnsi"/>
          <w:b/>
          <w:bCs/>
          <w:color w:val="000000"/>
        </w:rPr>
        <w:t>Return on Investment</w:t>
      </w:r>
      <w:r>
        <w:rPr>
          <w:rFonts w:asciiTheme="minorHAnsi" w:hAnsiTheme="minorHAnsi" w:cstheme="minorHAnsi"/>
          <w:color w:val="000000"/>
        </w:rPr>
        <w:t xml:space="preserve"> (</w:t>
      </w:r>
      <w:proofErr w:type="spellStart"/>
      <w:r>
        <w:rPr>
          <w:rFonts w:asciiTheme="minorHAnsi" w:hAnsiTheme="minorHAnsi" w:cstheme="minorHAnsi"/>
          <w:color w:val="000000"/>
        </w:rPr>
        <w:t>RoI</w:t>
      </w:r>
      <w:proofErr w:type="spellEnd"/>
      <w:r>
        <w:rPr>
          <w:rFonts w:asciiTheme="minorHAnsi" w:hAnsiTheme="minorHAnsi" w:cstheme="minorHAnsi"/>
          <w:color w:val="000000"/>
        </w:rPr>
        <w:t>). Cut out the individual line items which are not proven to driving margin and revenue. Considering the economic uncertainty, keep the following in mind:</w:t>
      </w:r>
    </w:p>
    <w:p w14:paraId="04AEF555" w14:textId="6596884A" w:rsidR="00E668DF" w:rsidRDefault="00E668DF" w:rsidP="00E668D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Why and where does your organization need to invest in Information Technology?</w:t>
      </w:r>
    </w:p>
    <w:p w14:paraId="5AF770B3" w14:textId="6CEC2358" w:rsidR="00E668DF" w:rsidRDefault="00E668DF" w:rsidP="00E668D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What does your organization want to accomplish and how the technology can help achieve those goals?</w:t>
      </w:r>
    </w:p>
    <w:p w14:paraId="0F252DF1" w14:textId="77777777" w:rsidR="00634DAB" w:rsidRDefault="008C53B8" w:rsidP="0066132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Are you able to quantify the impact of new technology in terms of your ROI?</w:t>
      </w:r>
    </w:p>
    <w:p w14:paraId="2C857DB6" w14:textId="152DD6E9" w:rsidR="00661320" w:rsidRPr="00634DAB" w:rsidRDefault="00634DAB" w:rsidP="00661320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Have you done an </w:t>
      </w:r>
      <w:r w:rsidR="00661320" w:rsidRPr="00634DAB">
        <w:rPr>
          <w:rFonts w:asciiTheme="minorHAnsi" w:hAnsiTheme="minorHAnsi" w:cstheme="minorHAnsi"/>
          <w:color w:val="000000"/>
        </w:rPr>
        <w:t>inventory budget analysis to compare estimated costs against actual costs</w:t>
      </w:r>
      <w:r>
        <w:rPr>
          <w:rFonts w:asciiTheme="minorHAnsi" w:hAnsiTheme="minorHAnsi" w:cstheme="minorHAnsi"/>
          <w:color w:val="000000"/>
        </w:rPr>
        <w:t xml:space="preserve"> to </w:t>
      </w:r>
      <w:r w:rsidR="00661320" w:rsidRPr="00634DAB">
        <w:rPr>
          <w:rFonts w:asciiTheme="minorHAnsi" w:hAnsiTheme="minorHAnsi" w:cstheme="minorHAnsi"/>
          <w:color w:val="000000"/>
        </w:rPr>
        <w:t xml:space="preserve">evaluate what assets to </w:t>
      </w:r>
      <w:r w:rsidRPr="00634DAB">
        <w:rPr>
          <w:rFonts w:asciiTheme="minorHAnsi" w:hAnsiTheme="minorHAnsi" w:cstheme="minorHAnsi"/>
          <w:color w:val="000000"/>
        </w:rPr>
        <w:t>invest in</w:t>
      </w:r>
      <w:r w:rsidR="00661320" w:rsidRPr="00634DAB">
        <w:rPr>
          <w:rFonts w:asciiTheme="minorHAnsi" w:hAnsiTheme="minorHAnsi" w:cstheme="minorHAnsi"/>
          <w:color w:val="000000"/>
        </w:rPr>
        <w:t xml:space="preserve"> and hold over the next year</w:t>
      </w:r>
      <w:r>
        <w:rPr>
          <w:rFonts w:asciiTheme="minorHAnsi" w:hAnsiTheme="minorHAnsi" w:cstheme="minorHAnsi"/>
          <w:color w:val="000000"/>
        </w:rPr>
        <w:t>?</w:t>
      </w:r>
    </w:p>
    <w:p w14:paraId="4B3EE8C8" w14:textId="20C3D78C" w:rsidR="008C53B8" w:rsidRPr="009720D8" w:rsidRDefault="008C53B8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13FBF59C" w14:textId="2BC361F3" w:rsidR="00556C41" w:rsidRDefault="009720D8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9720D8">
        <w:rPr>
          <w:rFonts w:asciiTheme="minorHAnsi" w:hAnsiTheme="minorHAnsi" w:cstheme="minorHAnsi"/>
          <w:b/>
          <w:bCs/>
          <w:color w:val="000000"/>
        </w:rPr>
        <w:t>Virtual Metric’s Inventory Monitoring for your IT Budgeting</w:t>
      </w:r>
    </w:p>
    <w:p w14:paraId="01917642" w14:textId="77777777" w:rsidR="00393DD6" w:rsidRDefault="00393DD6" w:rsidP="00B12B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05947A1D" w14:textId="5EE78089" w:rsidR="00B85E4F" w:rsidRDefault="000412B8" w:rsidP="000412B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Our</w:t>
      </w:r>
      <w:r w:rsidR="0039565D">
        <w:rPr>
          <w:rFonts w:asciiTheme="minorHAnsi" w:hAnsiTheme="minorHAnsi" w:cstheme="minorHAnsi"/>
          <w:color w:val="000000"/>
        </w:rPr>
        <w:t xml:space="preserve"> </w:t>
      </w:r>
      <w:r w:rsidR="0039565D" w:rsidRPr="00393DD6">
        <w:rPr>
          <w:rFonts w:asciiTheme="minorHAnsi" w:hAnsiTheme="minorHAnsi" w:cstheme="minorHAnsi"/>
          <w:b/>
          <w:bCs/>
          <w:color w:val="000000"/>
        </w:rPr>
        <w:t>Inventory Monitoring and Reporting</w:t>
      </w:r>
      <w:r w:rsidR="0039565D">
        <w:rPr>
          <w:rFonts w:asciiTheme="minorHAnsi" w:hAnsiTheme="minorHAnsi" w:cstheme="minorHAnsi"/>
          <w:color w:val="000000"/>
        </w:rPr>
        <w:t xml:space="preserve"> tool</w:t>
      </w:r>
      <w:r>
        <w:rPr>
          <w:rFonts w:asciiTheme="minorHAnsi" w:hAnsiTheme="minorHAnsi" w:cstheme="minorHAnsi"/>
          <w:color w:val="000000"/>
        </w:rPr>
        <w:t xml:space="preserve"> can help you control IT inventory budget for 2021. M</w:t>
      </w:r>
      <w:r w:rsidR="0039565D">
        <w:rPr>
          <w:rFonts w:asciiTheme="minorHAnsi" w:hAnsiTheme="minorHAnsi" w:cstheme="minorHAnsi"/>
          <w:color w:val="000000"/>
        </w:rPr>
        <w:t xml:space="preserve">onitor IT inventory assets and carry hardware asset management in one </w:t>
      </w:r>
      <w:r w:rsidR="00556C41">
        <w:rPr>
          <w:rFonts w:asciiTheme="minorHAnsi" w:hAnsiTheme="minorHAnsi" w:cstheme="minorHAnsi"/>
          <w:color w:val="000000"/>
        </w:rPr>
        <w:t>place. Keep a track of your inventory</w:t>
      </w:r>
      <w:r>
        <w:rPr>
          <w:rFonts w:asciiTheme="minorHAnsi" w:hAnsiTheme="minorHAnsi" w:cstheme="minorHAnsi"/>
          <w:color w:val="000000"/>
        </w:rPr>
        <w:t xml:space="preserve"> and get automatic reports for software, hardware and virtual machines. Get a free trial of our Inventory Monitoring and Reporting tool </w:t>
      </w:r>
      <w:hyperlink r:id="rId6" w:history="1">
        <w:r w:rsidRPr="000412B8">
          <w:rPr>
            <w:rStyle w:val="Hyperlink"/>
            <w:rFonts w:asciiTheme="minorHAnsi" w:hAnsiTheme="minorHAnsi" w:cstheme="minorHAnsi"/>
          </w:rPr>
          <w:t>here</w:t>
        </w:r>
      </w:hyperlink>
      <w:r>
        <w:rPr>
          <w:rFonts w:asciiTheme="minorHAnsi" w:hAnsiTheme="minorHAnsi" w:cstheme="minorHAnsi"/>
          <w:color w:val="000000"/>
        </w:rPr>
        <w:t xml:space="preserve">. </w:t>
      </w:r>
    </w:p>
    <w:p w14:paraId="0EE4437B" w14:textId="65FD770F" w:rsidR="004C4FC9" w:rsidRDefault="004C4FC9" w:rsidP="000412B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45ADEA95" w14:textId="77777777" w:rsidR="004C4FC9" w:rsidRPr="000412B8" w:rsidRDefault="004C4FC9" w:rsidP="000412B8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</w:p>
    <w:sectPr w:rsidR="004C4FC9" w:rsidRPr="0004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41E1D"/>
    <w:multiLevelType w:val="hybridMultilevel"/>
    <w:tmpl w:val="DECE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55FD4"/>
    <w:multiLevelType w:val="hybridMultilevel"/>
    <w:tmpl w:val="271C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737AC"/>
    <w:multiLevelType w:val="hybridMultilevel"/>
    <w:tmpl w:val="EBE8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F0991"/>
    <w:multiLevelType w:val="multilevel"/>
    <w:tmpl w:val="83C8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A6"/>
    <w:rsid w:val="000412B8"/>
    <w:rsid w:val="00053F3D"/>
    <w:rsid w:val="0006087E"/>
    <w:rsid w:val="000759A2"/>
    <w:rsid w:val="00091ED0"/>
    <w:rsid w:val="000A3027"/>
    <w:rsid w:val="000C77AB"/>
    <w:rsid w:val="001A54F9"/>
    <w:rsid w:val="00286F48"/>
    <w:rsid w:val="002B4A2B"/>
    <w:rsid w:val="002C1EB1"/>
    <w:rsid w:val="0033102E"/>
    <w:rsid w:val="00361227"/>
    <w:rsid w:val="00393DD6"/>
    <w:rsid w:val="0039565D"/>
    <w:rsid w:val="003B75FB"/>
    <w:rsid w:val="004A6E79"/>
    <w:rsid w:val="004B0E07"/>
    <w:rsid w:val="004C23AC"/>
    <w:rsid w:val="004C4FC9"/>
    <w:rsid w:val="004E5EBD"/>
    <w:rsid w:val="00513F61"/>
    <w:rsid w:val="005257DD"/>
    <w:rsid w:val="00535C1B"/>
    <w:rsid w:val="00556C41"/>
    <w:rsid w:val="005E075C"/>
    <w:rsid w:val="00634DAB"/>
    <w:rsid w:val="00661320"/>
    <w:rsid w:val="0067405F"/>
    <w:rsid w:val="0069695E"/>
    <w:rsid w:val="006B71C5"/>
    <w:rsid w:val="006C30F3"/>
    <w:rsid w:val="006E6B1C"/>
    <w:rsid w:val="00753962"/>
    <w:rsid w:val="00767C11"/>
    <w:rsid w:val="00770036"/>
    <w:rsid w:val="008334A6"/>
    <w:rsid w:val="0084476B"/>
    <w:rsid w:val="00850025"/>
    <w:rsid w:val="008965F1"/>
    <w:rsid w:val="008C53B8"/>
    <w:rsid w:val="00923EE8"/>
    <w:rsid w:val="009720D8"/>
    <w:rsid w:val="009C2A01"/>
    <w:rsid w:val="00B12BF1"/>
    <w:rsid w:val="00B85E4F"/>
    <w:rsid w:val="00BC45EF"/>
    <w:rsid w:val="00BF5761"/>
    <w:rsid w:val="00C14B76"/>
    <w:rsid w:val="00CE0A35"/>
    <w:rsid w:val="00D23E9C"/>
    <w:rsid w:val="00D748D0"/>
    <w:rsid w:val="00D81BE7"/>
    <w:rsid w:val="00DF5B08"/>
    <w:rsid w:val="00E26F12"/>
    <w:rsid w:val="00E4671D"/>
    <w:rsid w:val="00E668DF"/>
    <w:rsid w:val="00E718B5"/>
    <w:rsid w:val="00E76A1A"/>
    <w:rsid w:val="00E7702E"/>
    <w:rsid w:val="00E95C71"/>
    <w:rsid w:val="00F06DAE"/>
    <w:rsid w:val="00F34516"/>
    <w:rsid w:val="00F625D2"/>
    <w:rsid w:val="00FB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2D21"/>
  <w15:chartTrackingRefBased/>
  <w15:docId w15:val="{EA37C526-4777-4520-AFE6-CE9C771D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1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1ED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1E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535C1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B71C5"/>
    <w:rPr>
      <w:b/>
      <w:bCs/>
    </w:rPr>
  </w:style>
  <w:style w:type="character" w:styleId="Emphasis">
    <w:name w:val="Emphasis"/>
    <w:basedOn w:val="DefaultParagraphFont"/>
    <w:uiPriority w:val="20"/>
    <w:qFormat/>
    <w:rsid w:val="006B71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42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89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0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9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9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317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metric.com/inventory-monitoring-and-reporting" TargetMode="External"/><Relationship Id="rId5" Type="http://schemas.openxmlformats.org/officeDocument/2006/relationships/hyperlink" Target="https://swzd.com/resources/state-of-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49</cp:revision>
  <dcterms:created xsi:type="dcterms:W3CDTF">2020-11-11T09:01:00Z</dcterms:created>
  <dcterms:modified xsi:type="dcterms:W3CDTF">2020-11-23T09:46:00Z</dcterms:modified>
</cp:coreProperties>
</file>