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7D5E2" w14:textId="77777777" w:rsidR="00AC45AE" w:rsidRDefault="009B1CA2">
      <w:pPr>
        <w:keepNext/>
        <w:spacing w:before="240" w:after="120"/>
      </w:pPr>
      <w:r>
        <w:rPr>
          <w:b/>
          <w:color w:val="1F3864"/>
          <w:sz w:val="36"/>
        </w:rPr>
        <w:t>Section 1 Script (Updated) — Introduction &amp; Cosmopolitan Citizenship Framing</w:t>
      </w:r>
    </w:p>
    <w:p w14:paraId="7FC51078" w14:textId="77777777" w:rsidR="00AC45AE" w:rsidRDefault="009B1CA2">
      <w:pPr>
        <w:spacing w:before="60" w:after="120"/>
      </w:pPr>
      <w:r>
        <w:rPr>
          <w:b/>
        </w:rPr>
        <w:t>Presenter:</w:t>
      </w:r>
      <w:r>
        <w:t xml:space="preserve"> Tahsin Raihan Robbani | CST309, Section 1 | Target: ~5.0–5.5 min</w:t>
      </w:r>
    </w:p>
    <w:p w14:paraId="4EB95187" w14:textId="77777777" w:rsidR="00AC45AE" w:rsidRDefault="00AC45AE">
      <w:pPr>
        <w:pBdr>
          <w:bottom w:val="single" w:sz="6" w:space="1" w:color="CCCCCC"/>
        </w:pBdr>
        <w:spacing w:before="120" w:after="120"/>
      </w:pPr>
    </w:p>
    <w:p w14:paraId="36797944" w14:textId="77777777" w:rsidR="00AC45AE" w:rsidRDefault="009B1CA2">
      <w:pPr>
        <w:keepNext/>
        <w:spacing w:before="280" w:after="120"/>
      </w:pPr>
      <w:r>
        <w:rPr>
          <w:b/>
          <w:color w:val="1F3864"/>
          <w:sz w:val="28"/>
        </w:rPr>
        <w:t xml:space="preserve">VISUALIZATION GUIDE (what appears on </w:t>
      </w:r>
      <w:r>
        <w:rPr>
          <w:b/>
          <w:color w:val="1F3864"/>
          <w:sz w:val="28"/>
        </w:rPr>
        <w:t>screen, exactly when)</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60"/>
        <w:gridCol w:w="7200"/>
      </w:tblGrid>
      <w:tr w:rsidR="00AC45AE" w14:paraId="7E034DD8" w14:textId="77777777">
        <w:trPr>
          <w:jc w:val="center"/>
        </w:trPr>
        <w:tc>
          <w:tcPr>
            <w:tcW w:w="2160" w:type="dxa"/>
            <w:shd w:val="clear" w:color="auto" w:fill="1F3864"/>
            <w:tcMar>
              <w:top w:w="120" w:type="dxa"/>
              <w:left w:w="150" w:type="dxa"/>
              <w:bottom w:w="120" w:type="dxa"/>
              <w:right w:w="150" w:type="dxa"/>
            </w:tcMar>
          </w:tcPr>
          <w:p w14:paraId="6D2DFBA5" w14:textId="77777777" w:rsidR="00AC45AE" w:rsidRDefault="009B1CA2">
            <w:pPr>
              <w:spacing w:before="80" w:after="80"/>
            </w:pPr>
            <w:r>
              <w:rPr>
                <w:b/>
                <w:color w:val="FFFFFF"/>
                <w:sz w:val="22"/>
              </w:rPr>
              <w:t>Time</w:t>
            </w:r>
          </w:p>
        </w:tc>
        <w:tc>
          <w:tcPr>
            <w:tcW w:w="7200" w:type="dxa"/>
            <w:shd w:val="clear" w:color="auto" w:fill="1F3864"/>
            <w:tcMar>
              <w:top w:w="120" w:type="dxa"/>
              <w:left w:w="150" w:type="dxa"/>
              <w:bottom w:w="120" w:type="dxa"/>
              <w:right w:w="150" w:type="dxa"/>
            </w:tcMar>
          </w:tcPr>
          <w:p w14:paraId="181BCFE5" w14:textId="77777777" w:rsidR="00AC45AE" w:rsidRDefault="009B1CA2">
            <w:pPr>
              <w:spacing w:before="80" w:after="80"/>
            </w:pPr>
            <w:r>
              <w:rPr>
                <w:b/>
                <w:color w:val="FFFFFF"/>
                <w:sz w:val="22"/>
              </w:rPr>
              <w:t>Visual to show</w:t>
            </w:r>
          </w:p>
        </w:tc>
      </w:tr>
      <w:tr w:rsidR="00AC45AE" w14:paraId="05EE65B4" w14:textId="77777777">
        <w:trPr>
          <w:jc w:val="center"/>
        </w:trPr>
        <w:tc>
          <w:tcPr>
            <w:tcW w:w="2160" w:type="dxa"/>
            <w:shd w:val="clear" w:color="auto" w:fill="FFFFFF"/>
            <w:tcMar>
              <w:top w:w="100" w:type="dxa"/>
              <w:left w:w="150" w:type="dxa"/>
              <w:bottom w:w="100" w:type="dxa"/>
              <w:right w:w="150" w:type="dxa"/>
            </w:tcMar>
          </w:tcPr>
          <w:p w14:paraId="5FCE4683" w14:textId="77777777" w:rsidR="00AC45AE" w:rsidRDefault="009B1CA2">
            <w:pPr>
              <w:spacing w:before="60" w:after="60"/>
            </w:pPr>
            <w:r>
              <w:rPr>
                <w:sz w:val="22"/>
              </w:rPr>
              <w:t>0:00–0:35</w:t>
            </w:r>
          </w:p>
        </w:tc>
        <w:tc>
          <w:tcPr>
            <w:tcW w:w="7200" w:type="dxa"/>
            <w:shd w:val="clear" w:color="auto" w:fill="FFFFFF"/>
            <w:tcMar>
              <w:top w:w="100" w:type="dxa"/>
              <w:left w:w="150" w:type="dxa"/>
              <w:bottom w:w="100" w:type="dxa"/>
              <w:right w:w="150" w:type="dxa"/>
            </w:tcMar>
          </w:tcPr>
          <w:p w14:paraId="0773F0ED" w14:textId="77777777" w:rsidR="00AC45AE" w:rsidRDefault="009B1CA2">
            <w:pPr>
              <w:spacing w:before="60" w:after="60"/>
            </w:pPr>
            <w:r>
              <w:rPr>
                <w:sz w:val="22"/>
              </w:rPr>
              <w:t>Drone/wide shot over Geneva Camp, Mohammadpur — corrugated tin roofs. Lower-third graphic with your name + section title.</w:t>
            </w:r>
          </w:p>
        </w:tc>
      </w:tr>
      <w:tr w:rsidR="00AC45AE" w14:paraId="24754467" w14:textId="77777777">
        <w:trPr>
          <w:jc w:val="center"/>
        </w:trPr>
        <w:tc>
          <w:tcPr>
            <w:tcW w:w="2160" w:type="dxa"/>
            <w:shd w:val="clear" w:color="auto" w:fill="F2F4F7"/>
            <w:tcMar>
              <w:top w:w="100" w:type="dxa"/>
              <w:left w:w="150" w:type="dxa"/>
              <w:bottom w:w="100" w:type="dxa"/>
              <w:right w:w="150" w:type="dxa"/>
            </w:tcMar>
          </w:tcPr>
          <w:p w14:paraId="25C0674F" w14:textId="77777777" w:rsidR="00AC45AE" w:rsidRDefault="009B1CA2">
            <w:pPr>
              <w:spacing w:before="60" w:after="60"/>
            </w:pPr>
            <w:r>
              <w:rPr>
                <w:sz w:val="22"/>
              </w:rPr>
              <w:t>0:35–1:15</w:t>
            </w:r>
          </w:p>
        </w:tc>
        <w:tc>
          <w:tcPr>
            <w:tcW w:w="7200" w:type="dxa"/>
            <w:shd w:val="clear" w:color="auto" w:fill="F2F4F7"/>
            <w:tcMar>
              <w:top w:w="100" w:type="dxa"/>
              <w:left w:w="150" w:type="dxa"/>
              <w:bottom w:w="100" w:type="dxa"/>
              <w:right w:w="150" w:type="dxa"/>
            </w:tcMar>
          </w:tcPr>
          <w:p w14:paraId="61480F06" w14:textId="77777777" w:rsidR="00AC45AE" w:rsidRDefault="009B1CA2">
            <w:pPr>
              <w:spacing w:before="60" w:after="60"/>
            </w:pPr>
            <w:r>
              <w:rPr>
                <w:sz w:val="22"/>
              </w:rPr>
              <w:t xml:space="preserve">On-camera push-in shot. </w:t>
            </w:r>
            <w:r>
              <w:rPr>
                <w:b/>
                <w:sz w:val="22"/>
              </w:rPr>
              <w:t>On-screen quote card:</w:t>
            </w:r>
            <w:r>
              <w:rPr>
                <w:sz w:val="22"/>
              </w:rPr>
              <w:t xml:space="preserve"> short real Nussbaum quote (see script below) with APA in-text citation under it.</w:t>
            </w:r>
          </w:p>
        </w:tc>
      </w:tr>
      <w:tr w:rsidR="00AC45AE" w14:paraId="629AD1BD" w14:textId="77777777">
        <w:trPr>
          <w:jc w:val="center"/>
        </w:trPr>
        <w:tc>
          <w:tcPr>
            <w:tcW w:w="2160" w:type="dxa"/>
            <w:shd w:val="clear" w:color="auto" w:fill="FFFFFF"/>
            <w:tcMar>
              <w:top w:w="100" w:type="dxa"/>
              <w:left w:w="150" w:type="dxa"/>
              <w:bottom w:w="100" w:type="dxa"/>
              <w:right w:w="150" w:type="dxa"/>
            </w:tcMar>
          </w:tcPr>
          <w:p w14:paraId="41CDFA7C" w14:textId="77777777" w:rsidR="00AC45AE" w:rsidRDefault="009B1CA2">
            <w:pPr>
              <w:spacing w:before="60" w:after="60"/>
            </w:pPr>
            <w:r>
              <w:rPr>
                <w:sz w:val="22"/>
              </w:rPr>
              <w:t>1:15–2:05</w:t>
            </w:r>
          </w:p>
        </w:tc>
        <w:tc>
          <w:tcPr>
            <w:tcW w:w="7200" w:type="dxa"/>
            <w:shd w:val="clear" w:color="auto" w:fill="FFFFFF"/>
            <w:tcMar>
              <w:top w:w="100" w:type="dxa"/>
              <w:left w:w="150" w:type="dxa"/>
              <w:bottom w:w="100" w:type="dxa"/>
              <w:right w:w="150" w:type="dxa"/>
            </w:tcMar>
          </w:tcPr>
          <w:p w14:paraId="160F4370" w14:textId="77777777" w:rsidR="00AC45AE" w:rsidRDefault="009B1CA2">
            <w:pPr>
              <w:spacing w:before="60" w:after="60"/>
            </w:pPr>
            <w:r>
              <w:rPr>
                <w:sz w:val="22"/>
              </w:rPr>
              <w:t xml:space="preserve">Archival montage: 1947 Partition maps (Bihar → East Bengal), 1971 war footage/headlines. </w:t>
            </w:r>
            <w:r>
              <w:rPr>
                <w:b/>
                <w:sz w:val="22"/>
              </w:rPr>
              <w:t>On-screen timeline graphic</w:t>
            </w:r>
            <w:r>
              <w:rPr>
                <w:sz w:val="22"/>
              </w:rPr>
              <w:t xml:space="preserve"> with four points: 1947 / 1971 / 1972 / </w:t>
            </w:r>
            <w:r>
              <w:rPr>
                <w:b/>
                <w:sz w:val="22"/>
              </w:rPr>
              <w:t>2003</w:t>
            </w:r>
            <w:r>
              <w:rPr>
                <w:sz w:val="22"/>
              </w:rPr>
              <w:t xml:space="preserve"> </w:t>
            </w:r>
            <w:r>
              <w:rPr>
                <w:i/>
                <w:sz w:val="22"/>
              </w:rPr>
              <w:t>(ad</w:t>
            </w:r>
            <w:r>
              <w:rPr>
                <w:i/>
                <w:sz w:val="22"/>
              </w:rPr>
              <w:t>ded)</w:t>
            </w:r>
            <w:r>
              <w:rPr>
                <w:sz w:val="22"/>
              </w:rPr>
              <w:t>.</w:t>
            </w:r>
          </w:p>
        </w:tc>
      </w:tr>
      <w:tr w:rsidR="00AC45AE" w14:paraId="7D203791" w14:textId="77777777">
        <w:trPr>
          <w:jc w:val="center"/>
        </w:trPr>
        <w:tc>
          <w:tcPr>
            <w:tcW w:w="2160" w:type="dxa"/>
            <w:shd w:val="clear" w:color="auto" w:fill="F2F4F7"/>
            <w:tcMar>
              <w:top w:w="100" w:type="dxa"/>
              <w:left w:w="150" w:type="dxa"/>
              <w:bottom w:w="100" w:type="dxa"/>
              <w:right w:w="150" w:type="dxa"/>
            </w:tcMar>
          </w:tcPr>
          <w:p w14:paraId="686D2662" w14:textId="77777777" w:rsidR="00AC45AE" w:rsidRDefault="009B1CA2">
            <w:pPr>
              <w:spacing w:before="60" w:after="60"/>
            </w:pPr>
            <w:r>
              <w:rPr>
                <w:sz w:val="22"/>
              </w:rPr>
              <w:t>2:05–2:45</w:t>
            </w:r>
          </w:p>
        </w:tc>
        <w:tc>
          <w:tcPr>
            <w:tcW w:w="7200" w:type="dxa"/>
            <w:shd w:val="clear" w:color="auto" w:fill="F2F4F7"/>
            <w:tcMar>
              <w:top w:w="100" w:type="dxa"/>
              <w:left w:w="150" w:type="dxa"/>
              <w:bottom w:w="100" w:type="dxa"/>
              <w:right w:w="150" w:type="dxa"/>
            </w:tcMar>
          </w:tcPr>
          <w:p w14:paraId="3E667EEE" w14:textId="77777777" w:rsidR="00AC45AE" w:rsidRDefault="009B1CA2">
            <w:pPr>
              <w:spacing w:before="60" w:after="60"/>
            </w:pPr>
            <w:r>
              <w:rPr>
                <w:sz w:val="22"/>
              </w:rPr>
              <w:t xml:space="preserve">B-roll: alleys, drains inside Geneva Camp. </w:t>
            </w:r>
            <w:r>
              <w:rPr>
                <w:b/>
                <w:sz w:val="22"/>
              </w:rPr>
              <w:t>On-screen citation card:</w:t>
            </w:r>
            <w:r>
              <w:rPr>
                <w:sz w:val="22"/>
              </w:rPr>
              <w:t xml:space="preserve"> Siddiqi (2013, p. 150) and Hussain (2009).</w:t>
            </w:r>
          </w:p>
        </w:tc>
      </w:tr>
      <w:tr w:rsidR="00AC45AE" w14:paraId="22CB846A" w14:textId="77777777">
        <w:trPr>
          <w:jc w:val="center"/>
        </w:trPr>
        <w:tc>
          <w:tcPr>
            <w:tcW w:w="2160" w:type="dxa"/>
            <w:shd w:val="clear" w:color="auto" w:fill="FFFFFF"/>
            <w:tcMar>
              <w:top w:w="100" w:type="dxa"/>
              <w:left w:w="150" w:type="dxa"/>
              <w:bottom w:w="100" w:type="dxa"/>
              <w:right w:w="150" w:type="dxa"/>
            </w:tcMar>
          </w:tcPr>
          <w:p w14:paraId="58009DFA" w14:textId="77777777" w:rsidR="00AC45AE" w:rsidRDefault="009B1CA2">
            <w:pPr>
              <w:spacing w:before="60" w:after="60"/>
            </w:pPr>
            <w:r>
              <w:rPr>
                <w:sz w:val="22"/>
              </w:rPr>
              <w:t>2:45–3:30</w:t>
            </w:r>
          </w:p>
        </w:tc>
        <w:tc>
          <w:tcPr>
            <w:tcW w:w="7200" w:type="dxa"/>
            <w:shd w:val="clear" w:color="auto" w:fill="FFFFFF"/>
            <w:tcMar>
              <w:top w:w="100" w:type="dxa"/>
              <w:left w:w="150" w:type="dxa"/>
              <w:bottom w:w="100" w:type="dxa"/>
              <w:right w:w="150" w:type="dxa"/>
            </w:tcMar>
          </w:tcPr>
          <w:p w14:paraId="2AB953AB" w14:textId="77777777" w:rsidR="00AC45AE" w:rsidRDefault="009B1CA2">
            <w:pPr>
              <w:spacing w:before="60" w:after="60"/>
            </w:pPr>
            <w:r>
              <w:rPr>
                <w:sz w:val="22"/>
              </w:rPr>
              <w:t xml:space="preserve">On-camera, screen showing Anderson's book cover morphing into Language Movement rally photos. </w:t>
            </w:r>
            <w:r>
              <w:rPr>
                <w:b/>
                <w:sz w:val="22"/>
              </w:rPr>
              <w:t>On-screen citation card:</w:t>
            </w:r>
            <w:r>
              <w:rPr>
                <w:sz w:val="22"/>
              </w:rPr>
              <w:t xml:space="preserve"> Anderson (1983).</w:t>
            </w:r>
          </w:p>
        </w:tc>
      </w:tr>
      <w:tr w:rsidR="00AC45AE" w14:paraId="64163326" w14:textId="77777777">
        <w:trPr>
          <w:jc w:val="center"/>
        </w:trPr>
        <w:tc>
          <w:tcPr>
            <w:tcW w:w="2160" w:type="dxa"/>
            <w:shd w:val="clear" w:color="auto" w:fill="F2F4F7"/>
            <w:tcMar>
              <w:top w:w="100" w:type="dxa"/>
              <w:left w:w="150" w:type="dxa"/>
              <w:bottom w:w="100" w:type="dxa"/>
              <w:right w:w="150" w:type="dxa"/>
            </w:tcMar>
          </w:tcPr>
          <w:p w14:paraId="74A3A04F" w14:textId="77777777" w:rsidR="00AC45AE" w:rsidRDefault="009B1CA2">
            <w:pPr>
              <w:spacing w:before="60" w:after="60"/>
            </w:pPr>
            <w:r>
              <w:rPr>
                <w:sz w:val="22"/>
              </w:rPr>
              <w:t>3:30–4:15</w:t>
            </w:r>
          </w:p>
        </w:tc>
        <w:tc>
          <w:tcPr>
            <w:tcW w:w="7200" w:type="dxa"/>
            <w:shd w:val="clear" w:color="auto" w:fill="F2F4F7"/>
            <w:tcMar>
              <w:top w:w="100" w:type="dxa"/>
              <w:left w:w="150" w:type="dxa"/>
              <w:bottom w:w="100" w:type="dxa"/>
              <w:right w:w="150" w:type="dxa"/>
            </w:tcMar>
          </w:tcPr>
          <w:p w14:paraId="4449F3AE" w14:textId="77777777" w:rsidR="00AC45AE" w:rsidRDefault="009B1CA2">
            <w:pPr>
              <w:spacing w:before="60" w:after="60"/>
            </w:pPr>
            <w:r>
              <w:rPr>
                <w:sz w:val="22"/>
              </w:rPr>
              <w:t>Split-screen graphic: Walzer's bounded-membership model vs. Linklater's cosmopolitan rights/duty/democracy mo</w:t>
            </w:r>
            <w:r>
              <w:rPr>
                <w:sz w:val="22"/>
              </w:rPr>
              <w:t xml:space="preserve">del. </w:t>
            </w:r>
            <w:r>
              <w:rPr>
                <w:b/>
                <w:sz w:val="22"/>
              </w:rPr>
              <w:t>On-screen citation card:</w:t>
            </w:r>
            <w:r>
              <w:rPr>
                <w:sz w:val="22"/>
              </w:rPr>
              <w:t xml:space="preserve"> Walzer (1983) </w:t>
            </w:r>
            <w:r>
              <w:rPr>
                <w:i/>
                <w:sz w:val="22"/>
              </w:rPr>
              <w:t>(added)</w:t>
            </w:r>
            <w:r>
              <w:rPr>
                <w:sz w:val="22"/>
              </w:rPr>
              <w:t xml:space="preserve"> and Linklater (2002).</w:t>
            </w:r>
          </w:p>
        </w:tc>
      </w:tr>
      <w:tr w:rsidR="00AC45AE" w14:paraId="7E69A56B" w14:textId="77777777">
        <w:trPr>
          <w:jc w:val="center"/>
        </w:trPr>
        <w:tc>
          <w:tcPr>
            <w:tcW w:w="2160" w:type="dxa"/>
            <w:shd w:val="clear" w:color="auto" w:fill="FFFFFF"/>
            <w:tcMar>
              <w:top w:w="100" w:type="dxa"/>
              <w:left w:w="150" w:type="dxa"/>
              <w:bottom w:w="100" w:type="dxa"/>
              <w:right w:w="150" w:type="dxa"/>
            </w:tcMar>
          </w:tcPr>
          <w:p w14:paraId="42B529F2" w14:textId="77777777" w:rsidR="00AC45AE" w:rsidRDefault="009B1CA2">
            <w:pPr>
              <w:spacing w:before="60" w:after="60"/>
            </w:pPr>
            <w:r>
              <w:rPr>
                <w:sz w:val="22"/>
              </w:rPr>
              <w:t>4:15–5:00</w:t>
            </w:r>
          </w:p>
        </w:tc>
        <w:tc>
          <w:tcPr>
            <w:tcW w:w="7200" w:type="dxa"/>
            <w:shd w:val="clear" w:color="auto" w:fill="FFFFFF"/>
            <w:tcMar>
              <w:top w:w="100" w:type="dxa"/>
              <w:left w:w="150" w:type="dxa"/>
              <w:bottom w:w="100" w:type="dxa"/>
              <w:right w:w="150" w:type="dxa"/>
            </w:tcMar>
          </w:tcPr>
          <w:p w14:paraId="3B170D65" w14:textId="77777777" w:rsidR="00AC45AE" w:rsidRDefault="009B1CA2">
            <w:pPr>
              <w:spacing w:before="60" w:after="60"/>
            </w:pPr>
            <w:r>
              <w:rPr>
                <w:sz w:val="22"/>
              </w:rPr>
              <w:t xml:space="preserve">Montage: 2008 High Court judgment scan, NID card macro shot, passport form stamped "REJECTED." </w:t>
            </w:r>
            <w:r>
              <w:rPr>
                <w:b/>
                <w:sz w:val="22"/>
              </w:rPr>
              <w:t>On-screen citation card:</w:t>
            </w:r>
            <w:r>
              <w:rPr>
                <w:sz w:val="22"/>
              </w:rPr>
              <w:t xml:space="preserve"> Hussain (2009) and Redclift (2013).</w:t>
            </w:r>
          </w:p>
        </w:tc>
      </w:tr>
      <w:tr w:rsidR="00AC45AE" w14:paraId="1E138B89" w14:textId="77777777">
        <w:trPr>
          <w:jc w:val="center"/>
        </w:trPr>
        <w:tc>
          <w:tcPr>
            <w:tcW w:w="2160" w:type="dxa"/>
            <w:shd w:val="clear" w:color="auto" w:fill="F2F4F7"/>
            <w:tcMar>
              <w:top w:w="100" w:type="dxa"/>
              <w:left w:w="150" w:type="dxa"/>
              <w:bottom w:w="100" w:type="dxa"/>
              <w:right w:w="150" w:type="dxa"/>
            </w:tcMar>
          </w:tcPr>
          <w:p w14:paraId="35FBEFE2" w14:textId="77777777" w:rsidR="00AC45AE" w:rsidRDefault="009B1CA2">
            <w:pPr>
              <w:spacing w:before="60" w:after="60"/>
            </w:pPr>
            <w:r>
              <w:rPr>
                <w:sz w:val="22"/>
              </w:rPr>
              <w:t>5:00–5:35</w:t>
            </w:r>
          </w:p>
        </w:tc>
        <w:tc>
          <w:tcPr>
            <w:tcW w:w="7200" w:type="dxa"/>
            <w:shd w:val="clear" w:color="auto" w:fill="F2F4F7"/>
            <w:tcMar>
              <w:top w:w="100" w:type="dxa"/>
              <w:left w:w="150" w:type="dxa"/>
              <w:bottom w:w="100" w:type="dxa"/>
              <w:right w:w="150" w:type="dxa"/>
            </w:tcMar>
          </w:tcPr>
          <w:p w14:paraId="1D2E8E3D" w14:textId="77777777" w:rsidR="00AC45AE" w:rsidRDefault="009B1CA2">
            <w:pPr>
              <w:spacing w:before="60" w:after="60"/>
            </w:pPr>
            <w:r>
              <w:rPr>
                <w:sz w:val="22"/>
              </w:rPr>
              <w:t xml:space="preserve">Direct-to-camera close. Pan to photo of Geneva Camp residents. Handoff graphic: "Up </w:t>
            </w:r>
            <w:r>
              <w:rPr>
                <w:sz w:val="22"/>
              </w:rPr>
              <w:t>Next: Section 2 — Arnab."</w:t>
            </w:r>
          </w:p>
        </w:tc>
      </w:tr>
    </w:tbl>
    <w:p w14:paraId="6EDCC448" w14:textId="77777777" w:rsidR="00AC45AE" w:rsidRDefault="00AC45AE">
      <w:pPr>
        <w:spacing w:after="120"/>
      </w:pPr>
    </w:p>
    <w:p w14:paraId="2663033B" w14:textId="77777777" w:rsidR="00AC45AE" w:rsidRDefault="00AC45AE">
      <w:pPr>
        <w:pBdr>
          <w:bottom w:val="single" w:sz="6" w:space="1" w:color="CCCCCC"/>
        </w:pBdr>
        <w:spacing w:before="120" w:after="120"/>
      </w:pPr>
    </w:p>
    <w:p w14:paraId="3F7FB8B0" w14:textId="77777777" w:rsidR="00AC45AE" w:rsidRDefault="009B1CA2">
      <w:pPr>
        <w:keepNext/>
        <w:spacing w:before="280" w:after="120"/>
      </w:pPr>
      <w:r>
        <w:rPr>
          <w:b/>
          <w:color w:val="1F3864"/>
          <w:sz w:val="28"/>
        </w:rPr>
        <w:lastRenderedPageBreak/>
        <w:t>SCRIPT</w:t>
      </w:r>
    </w:p>
    <w:p w14:paraId="7FEB2C92" w14:textId="77777777" w:rsidR="00F61ECE" w:rsidRPr="00F61ECE" w:rsidRDefault="00F61ECE" w:rsidP="00F61ECE">
      <w:pPr>
        <w:spacing w:after="0" w:line="240" w:lineRule="auto"/>
        <w:rPr>
          <w:rFonts w:eastAsia="Times New Roman" w:cs="Times New Roman"/>
          <w:color w:val="1F1F1F"/>
          <w:szCs w:val="24"/>
        </w:rPr>
      </w:pPr>
    </w:p>
    <w:p w14:paraId="7C19EA5A"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What does it mean to be a citizen of the world when the state you live in refuses to see you as an equal citizen at home?</w:t>
      </w:r>
    </w:p>
    <w:p w14:paraId="09406EB7" w14:textId="77777777" w:rsidR="00F61ECE" w:rsidRPr="00F61ECE" w:rsidRDefault="00F61ECE" w:rsidP="00F61ECE">
      <w:pPr>
        <w:spacing w:after="0" w:line="240" w:lineRule="auto"/>
        <w:rPr>
          <w:rFonts w:eastAsia="Times New Roman" w:cs="Times New Roman"/>
          <w:color w:val="1F1F1F"/>
          <w:szCs w:val="24"/>
        </w:rPr>
      </w:pPr>
    </w:p>
    <w:p w14:paraId="07E42B3D"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Most of us take our citizenship for granted. We assume our rights are permanent shields given to us simply because we were born. But modern history reveals a darker reality: whenever political systems tie human dignity strictly to national borders, anyone falling between those borders finds their rights stripped away.</w:t>
      </w:r>
    </w:p>
    <w:p w14:paraId="575B84F2" w14:textId="77777777" w:rsidR="00F61ECE" w:rsidRPr="00F61ECE" w:rsidRDefault="00F61ECE" w:rsidP="00F61ECE">
      <w:pPr>
        <w:spacing w:after="0" w:line="240" w:lineRule="auto"/>
        <w:rPr>
          <w:rFonts w:eastAsia="Times New Roman" w:cs="Times New Roman"/>
          <w:color w:val="1F1F1F"/>
          <w:szCs w:val="24"/>
        </w:rPr>
      </w:pPr>
    </w:p>
    <w:p w14:paraId="6D08242F"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Three decades ago, philosopher Martha Nussbaum challenged us to dismantle this border-first thinking. In </w:t>
      </w:r>
      <w:r w:rsidRPr="00F61ECE">
        <w:rPr>
          <w:rFonts w:eastAsia="Times New Roman" w:cs="Times New Roman"/>
          <w:i/>
          <w:iCs/>
          <w:color w:val="1F1F1F"/>
          <w:szCs w:val="24"/>
          <w:bdr w:val="none" w:sz="0" w:space="0" w:color="auto" w:frame="1"/>
        </w:rPr>
        <w:t>Patriotism and Cosmopolitanism</w:t>
      </w:r>
      <w:r w:rsidRPr="00F61ECE">
        <w:rPr>
          <w:rFonts w:eastAsia="Times New Roman" w:cs="Times New Roman"/>
          <w:color w:val="1F1F1F"/>
          <w:szCs w:val="24"/>
          <w:bdr w:val="none" w:sz="0" w:space="0" w:color="auto" w:frame="1"/>
        </w:rPr>
        <w:t>, she argued that nationality is merely an accident of birth—in her words, a "morally irrelevant characteristic". Nussbaum insisted that our primary moral allegiance should belong not to state borders or sovereign flags, but to the worldwide community of human beings.</w:t>
      </w:r>
      <w:r w:rsidRPr="00F61ECE">
        <w:rPr>
          <w:rFonts w:eastAsia="Times New Roman" w:cs="Times New Roman"/>
          <w:color w:val="1F1F1F"/>
          <w:szCs w:val="24"/>
        </w:rPr>
        <w:t xml:space="preserve"> </w:t>
      </w:r>
    </w:p>
    <w:p w14:paraId="6C610AF8" w14:textId="77777777" w:rsidR="00F61ECE" w:rsidRPr="00F61ECE" w:rsidRDefault="00F61ECE" w:rsidP="00F61ECE">
      <w:pPr>
        <w:spacing w:after="0" w:line="240" w:lineRule="auto"/>
        <w:rPr>
          <w:rFonts w:eastAsia="Times New Roman" w:cs="Times New Roman"/>
          <w:color w:val="1F1F1F"/>
          <w:szCs w:val="24"/>
        </w:rPr>
      </w:pPr>
    </w:p>
    <w:p w14:paraId="61EEBB83"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Yet our global order remains bound by national walls. And nowhere is the human cost of that failure clearer than right here in Bangladesh, in the five-decade struggle of the Urdu-speaking Bihari community.</w:t>
      </w:r>
    </w:p>
    <w:p w14:paraId="1E9C6E54" w14:textId="77777777" w:rsidR="00F61ECE" w:rsidRPr="00F61ECE" w:rsidRDefault="00F61ECE" w:rsidP="00F61ECE">
      <w:pPr>
        <w:spacing w:after="0" w:line="240" w:lineRule="auto"/>
        <w:rPr>
          <w:rFonts w:eastAsia="Times New Roman" w:cs="Times New Roman"/>
          <w:color w:val="1F1F1F"/>
          <w:szCs w:val="24"/>
        </w:rPr>
      </w:pPr>
    </w:p>
    <w:p w14:paraId="724148E8"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b/>
          <w:bCs/>
          <w:color w:val="1F1F1F"/>
          <w:szCs w:val="24"/>
          <w:bdr w:val="none" w:sz="0" w:space="0" w:color="auto" w:frame="1"/>
        </w:rPr>
        <w:t>[MONTAGE — 1947 PARTITION, 1971 WAR &amp; MAKESHIFT CAMPS]</w:t>
      </w:r>
    </w:p>
    <w:p w14:paraId="4D96D58E" w14:textId="77777777" w:rsidR="00F61ECE" w:rsidRPr="00F61ECE" w:rsidRDefault="00F61ECE" w:rsidP="00F61ECE">
      <w:pPr>
        <w:spacing w:after="0" w:line="240" w:lineRule="auto"/>
        <w:rPr>
          <w:rFonts w:eastAsia="Times New Roman" w:cs="Times New Roman"/>
          <w:color w:val="1F1F1F"/>
          <w:szCs w:val="24"/>
        </w:rPr>
      </w:pPr>
    </w:p>
    <w:p w14:paraId="2E8B8A5E"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To understand this tragedy, we must ask: who are the </w:t>
      </w:r>
      <w:proofErr w:type="spellStart"/>
      <w:r w:rsidRPr="00F61ECE">
        <w:rPr>
          <w:rFonts w:eastAsia="Times New Roman" w:cs="Times New Roman"/>
          <w:color w:val="1F1F1F"/>
          <w:szCs w:val="24"/>
          <w:bdr w:val="none" w:sz="0" w:space="0" w:color="auto" w:frame="1"/>
        </w:rPr>
        <w:t>Biharis</w:t>
      </w:r>
      <w:proofErr w:type="spellEnd"/>
      <w:r w:rsidRPr="00F61ECE">
        <w:rPr>
          <w:rFonts w:eastAsia="Times New Roman" w:cs="Times New Roman"/>
          <w:color w:val="1F1F1F"/>
          <w:szCs w:val="24"/>
          <w:bdr w:val="none" w:sz="0" w:space="0" w:color="auto" w:frame="1"/>
        </w:rPr>
        <w:t>?</w:t>
      </w:r>
      <w:r w:rsidRPr="00F61ECE">
        <w:rPr>
          <w:rFonts w:eastAsia="Times New Roman" w:cs="Times New Roman"/>
          <w:color w:val="1F1F1F"/>
          <w:szCs w:val="24"/>
        </w:rPr>
        <w:t xml:space="preserve"> </w:t>
      </w:r>
    </w:p>
    <w:p w14:paraId="3A481390" w14:textId="77777777" w:rsidR="00F61ECE" w:rsidRPr="00F61ECE" w:rsidRDefault="00F61ECE" w:rsidP="00F61ECE">
      <w:pPr>
        <w:spacing w:after="0" w:line="240" w:lineRule="auto"/>
        <w:rPr>
          <w:rFonts w:eastAsia="Times New Roman" w:cs="Times New Roman"/>
          <w:color w:val="1F1F1F"/>
          <w:szCs w:val="24"/>
        </w:rPr>
      </w:pPr>
    </w:p>
    <w:p w14:paraId="7A2345DD"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They are an Urdu-speaking Muslim minority originally hailing from Bihar and neighboring regions in British India. In 1947, fleeing communal violence during Partition, hundreds of thousands migrated to East Bengal as recognized Pakistani citizens, building lives, raising families, and working across railways and industry.</w:t>
      </w:r>
    </w:p>
    <w:p w14:paraId="363C2539" w14:textId="77777777" w:rsidR="00F61ECE" w:rsidRPr="00F61ECE" w:rsidRDefault="00F61ECE" w:rsidP="00F61ECE">
      <w:pPr>
        <w:spacing w:after="0" w:line="240" w:lineRule="auto"/>
        <w:rPr>
          <w:rFonts w:eastAsia="Times New Roman" w:cs="Times New Roman"/>
          <w:color w:val="1F1F1F"/>
          <w:szCs w:val="24"/>
        </w:rPr>
      </w:pPr>
    </w:p>
    <w:p w14:paraId="3C6CD1F3"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Then came their catastrophic second displacement. In 1971, Bangladesh fought its Liberation War to break free from Pakistani rule. During that brutal conflict, political and linguistic divisions left the Bihari community trapped on the losing side of history.</w:t>
      </w:r>
    </w:p>
    <w:p w14:paraId="35BF33BD" w14:textId="77777777" w:rsidR="00F61ECE" w:rsidRPr="00F61ECE" w:rsidRDefault="00F61ECE" w:rsidP="00F61ECE">
      <w:pPr>
        <w:spacing w:after="0" w:line="240" w:lineRule="auto"/>
        <w:rPr>
          <w:rFonts w:eastAsia="Times New Roman" w:cs="Times New Roman"/>
          <w:color w:val="1F1F1F"/>
          <w:szCs w:val="24"/>
        </w:rPr>
      </w:pPr>
    </w:p>
    <w:p w14:paraId="0330B90C"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When Bangladesh was born, their world vanished beneath their feet. Branded collectively with the stigma of </w:t>
      </w:r>
      <w:proofErr w:type="spellStart"/>
      <w:r w:rsidRPr="00F61ECE">
        <w:rPr>
          <w:rFonts w:eastAsia="Times New Roman" w:cs="Times New Roman"/>
          <w:i/>
          <w:iCs/>
          <w:color w:val="1F1F1F"/>
          <w:szCs w:val="24"/>
          <w:bdr w:val="none" w:sz="0" w:space="0" w:color="auto" w:frame="1"/>
        </w:rPr>
        <w:t>dalal</w:t>
      </w:r>
      <w:proofErr w:type="spellEnd"/>
      <w:r w:rsidRPr="00F61ECE">
        <w:rPr>
          <w:rFonts w:eastAsia="Times New Roman" w:cs="Times New Roman"/>
          <w:color w:val="1F1F1F"/>
          <w:szCs w:val="24"/>
          <w:bdr w:val="none" w:sz="0" w:space="0" w:color="auto" w:frame="1"/>
        </w:rPr>
        <w:t xml:space="preserve"> or "collaborators," an estimated nine hundred thousand people were left stranded under the 1972 Citizenship Order. Pakistan abandoned them.</w:t>
      </w:r>
      <w:r w:rsidRPr="00F61ECE">
        <w:rPr>
          <w:rFonts w:eastAsia="Times New Roman" w:cs="Times New Roman"/>
          <w:color w:val="1F1F1F"/>
          <w:szCs w:val="24"/>
        </w:rPr>
        <w:t xml:space="preserve"> </w:t>
      </w:r>
    </w:p>
    <w:p w14:paraId="7F37BD99" w14:textId="77777777" w:rsidR="00F61ECE" w:rsidRPr="00F61ECE" w:rsidRDefault="00F61ECE" w:rsidP="00F61ECE">
      <w:pPr>
        <w:spacing w:after="0" w:line="240" w:lineRule="auto"/>
        <w:rPr>
          <w:rFonts w:eastAsia="Times New Roman" w:cs="Times New Roman"/>
          <w:color w:val="1F1F1F"/>
          <w:szCs w:val="24"/>
        </w:rPr>
      </w:pPr>
    </w:p>
    <w:p w14:paraId="1871984A"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And as anthropologist Dina Siddiqi documents, the international community abandoned them as well: the UNHCR refused to recognize them as refugees simply because they had not crossed an international border after 1971. Falling through the cracks of the nation-state system, hundreds of thousands were pushed into temporary settlements—evolving into the roughly seventy squalid camps that have confined three generations for over fifty years.</w:t>
      </w:r>
      <w:r w:rsidRPr="00F61ECE">
        <w:rPr>
          <w:rFonts w:eastAsia="Times New Roman" w:cs="Times New Roman"/>
          <w:color w:val="1F1F1F"/>
          <w:szCs w:val="24"/>
        </w:rPr>
        <w:t xml:space="preserve"> </w:t>
      </w:r>
    </w:p>
    <w:p w14:paraId="58EC031B" w14:textId="77777777" w:rsidR="00F61ECE" w:rsidRPr="00F61ECE" w:rsidRDefault="00F61ECE" w:rsidP="00F61ECE">
      <w:pPr>
        <w:spacing w:after="0" w:line="240" w:lineRule="auto"/>
        <w:rPr>
          <w:rFonts w:eastAsia="Times New Roman" w:cs="Times New Roman"/>
          <w:color w:val="1F1F1F"/>
          <w:szCs w:val="24"/>
        </w:rPr>
      </w:pPr>
    </w:p>
    <w:p w14:paraId="42447604" w14:textId="27210BBE" w:rsidR="00F61ECE" w:rsidRDefault="00F61ECE" w:rsidP="00F61ECE">
      <w:pPr>
        <w:spacing w:after="0" w:line="240" w:lineRule="auto"/>
        <w:rPr>
          <w:rFonts w:eastAsia="Times New Roman" w:cs="Times New Roman"/>
          <w:b/>
          <w:bCs/>
          <w:color w:val="1F1F1F"/>
          <w:szCs w:val="24"/>
          <w:bdr w:val="none" w:sz="0" w:space="0" w:color="auto" w:frame="1"/>
        </w:rPr>
      </w:pPr>
    </w:p>
    <w:p w14:paraId="39CC455A" w14:textId="77777777" w:rsidR="009B1CA2" w:rsidRPr="00F61ECE" w:rsidRDefault="009B1CA2" w:rsidP="00F61ECE">
      <w:pPr>
        <w:spacing w:after="0" w:line="240" w:lineRule="auto"/>
        <w:rPr>
          <w:rFonts w:eastAsia="Times New Roman" w:cs="Times New Roman"/>
          <w:color w:val="1F1F1F"/>
          <w:szCs w:val="24"/>
        </w:rPr>
      </w:pPr>
    </w:p>
    <w:p w14:paraId="57704980"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Why did this happen? Why couldn't our political systems see their shared humanity?</w:t>
      </w:r>
    </w:p>
    <w:p w14:paraId="09C0895F" w14:textId="77777777" w:rsidR="00F61ECE" w:rsidRPr="00F61ECE" w:rsidRDefault="00F61ECE" w:rsidP="00F61ECE">
      <w:pPr>
        <w:spacing w:after="0" w:line="240" w:lineRule="auto"/>
        <w:rPr>
          <w:rFonts w:eastAsia="Times New Roman" w:cs="Times New Roman"/>
          <w:color w:val="1F1F1F"/>
          <w:szCs w:val="24"/>
        </w:rPr>
      </w:pPr>
    </w:p>
    <w:p w14:paraId="3A62BB22" w14:textId="04A4E8A8"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rPr>
        <w:t xml:space="preserve">As Benedict Anderson observed, modern nations are </w:t>
      </w:r>
      <w:r w:rsidRPr="00F61ECE">
        <w:rPr>
          <w:rFonts w:eastAsia="Times New Roman" w:cs="Times New Roman"/>
          <w:i/>
          <w:iCs/>
          <w:color w:val="1F1F1F"/>
          <w:szCs w:val="24"/>
          <w:bdr w:val="none" w:sz="0" w:space="0" w:color="auto" w:frame="1"/>
        </w:rPr>
        <w:t>imagined communities</w:t>
      </w:r>
      <w:r w:rsidRPr="00F61ECE">
        <w:rPr>
          <w:rFonts w:eastAsia="Times New Roman" w:cs="Times New Roman"/>
          <w:color w:val="1F1F1F"/>
          <w:szCs w:val="24"/>
        </w:rPr>
        <w:t xml:space="preserve"> built through shared language and national symbols. Post-1971 nation-building rallied around Bengali linguistic identity—basing belonging on </w:t>
      </w:r>
      <w:r w:rsidRPr="00F61ECE">
        <w:rPr>
          <w:rFonts w:eastAsia="Times New Roman" w:cs="Times New Roman"/>
          <w:i/>
          <w:iCs/>
          <w:color w:val="1F1F1F"/>
          <w:szCs w:val="24"/>
          <w:bdr w:val="none" w:sz="0" w:space="0" w:color="auto" w:frame="1"/>
        </w:rPr>
        <w:t>ethnos</w:t>
      </w:r>
      <w:r w:rsidRPr="00F61ECE">
        <w:rPr>
          <w:rFonts w:eastAsia="Times New Roman" w:cs="Times New Roman"/>
          <w:color w:val="1F1F1F"/>
          <w:szCs w:val="24"/>
        </w:rPr>
        <w:t xml:space="preserve">, on shared blood and language, rather than </w:t>
      </w:r>
      <w:r w:rsidRPr="00F61ECE">
        <w:rPr>
          <w:rFonts w:eastAsia="Times New Roman" w:cs="Times New Roman"/>
          <w:i/>
          <w:iCs/>
          <w:color w:val="1F1F1F"/>
          <w:szCs w:val="24"/>
          <w:bdr w:val="none" w:sz="0" w:space="0" w:color="auto" w:frame="1"/>
        </w:rPr>
        <w:t>demos</w:t>
      </w:r>
      <w:r w:rsidRPr="00F61ECE">
        <w:rPr>
          <w:rFonts w:eastAsia="Times New Roman" w:cs="Times New Roman"/>
          <w:color w:val="1F1F1F"/>
          <w:szCs w:val="24"/>
        </w:rPr>
        <w:t>, the democratic rights of everyone living on this soil. To define who belonged inside that national brotherhood, an internal "Other" was created</w:t>
      </w:r>
      <w:r w:rsidR="009B1CA2">
        <w:rPr>
          <w:rFonts w:eastAsia="Times New Roman" w:cs="Times New Roman"/>
          <w:color w:val="1F1F1F"/>
          <w:szCs w:val="24"/>
        </w:rPr>
        <w:t xml:space="preserve"> </w:t>
      </w:r>
      <w:r w:rsidRPr="00F61ECE">
        <w:rPr>
          <w:rFonts w:eastAsia="Times New Roman" w:cs="Times New Roman"/>
          <w:color w:val="1F1F1F"/>
          <w:szCs w:val="24"/>
        </w:rPr>
        <w:t>and the Urdu-speaking Bihari became the outsider trapped inside our own cities.</w:t>
      </w:r>
    </w:p>
    <w:p w14:paraId="78B1D4F9" w14:textId="77777777" w:rsidR="00F61ECE" w:rsidRPr="00F61ECE" w:rsidRDefault="00F61ECE" w:rsidP="00F61ECE">
      <w:pPr>
        <w:spacing w:after="0" w:line="240" w:lineRule="auto"/>
        <w:rPr>
          <w:rFonts w:eastAsia="Times New Roman" w:cs="Times New Roman"/>
          <w:color w:val="1F1F1F"/>
          <w:szCs w:val="24"/>
        </w:rPr>
      </w:pPr>
    </w:p>
    <w:p w14:paraId="59445B8D"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Communitarian thinkers like Michael </w:t>
      </w:r>
      <w:proofErr w:type="spellStart"/>
      <w:r w:rsidRPr="00F61ECE">
        <w:rPr>
          <w:rFonts w:eastAsia="Times New Roman" w:cs="Times New Roman"/>
          <w:color w:val="1F1F1F"/>
          <w:szCs w:val="24"/>
          <w:bdr w:val="none" w:sz="0" w:space="0" w:color="auto" w:frame="1"/>
        </w:rPr>
        <w:t>Walzer</w:t>
      </w:r>
      <w:proofErr w:type="spellEnd"/>
      <w:r w:rsidRPr="00F61ECE">
        <w:rPr>
          <w:rFonts w:eastAsia="Times New Roman" w:cs="Times New Roman"/>
          <w:color w:val="1F1F1F"/>
          <w:szCs w:val="24"/>
          <w:bdr w:val="none" w:sz="0" w:space="0" w:color="auto" w:frame="1"/>
        </w:rPr>
        <w:t xml:space="preserve"> argue that states have an absolute right to control their borders and decide who belongs. But political theorist Andrew Linklater refutes this. Linklater shows that when states tie rights strictly to national identity, vulnerable internal minorities are stripped of all protection—reduced to what Hannah Arendt called the loss of "the right to have rights".</w:t>
      </w:r>
      <w:r w:rsidRPr="00F61ECE">
        <w:rPr>
          <w:rFonts w:eastAsia="Times New Roman" w:cs="Times New Roman"/>
          <w:color w:val="1F1F1F"/>
          <w:szCs w:val="24"/>
        </w:rPr>
        <w:t xml:space="preserve"> </w:t>
      </w:r>
    </w:p>
    <w:p w14:paraId="2E791D3F" w14:textId="77777777" w:rsidR="00F61ECE" w:rsidRPr="00F61ECE" w:rsidRDefault="00F61ECE" w:rsidP="00F61ECE">
      <w:pPr>
        <w:spacing w:after="0" w:line="240" w:lineRule="auto"/>
        <w:rPr>
          <w:rFonts w:eastAsia="Times New Roman" w:cs="Times New Roman"/>
          <w:color w:val="1F1F1F"/>
          <w:szCs w:val="24"/>
        </w:rPr>
      </w:pPr>
    </w:p>
    <w:p w14:paraId="7763B860"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To solve this, Linklater introduces two vital pillars: </w:t>
      </w:r>
      <w:r w:rsidRPr="00F61ECE">
        <w:rPr>
          <w:rFonts w:eastAsia="Times New Roman" w:cs="Times New Roman"/>
          <w:b/>
          <w:bCs/>
          <w:color w:val="1F1F1F"/>
          <w:szCs w:val="24"/>
          <w:bdr w:val="none" w:sz="0" w:space="0" w:color="auto" w:frame="1"/>
        </w:rPr>
        <w:t>Cosmopolitan Rights</w:t>
      </w:r>
      <w:r w:rsidRPr="00F61ECE">
        <w:rPr>
          <w:rFonts w:eastAsia="Times New Roman" w:cs="Times New Roman"/>
          <w:color w:val="1F1F1F"/>
          <w:szCs w:val="24"/>
          <w:bdr w:val="none" w:sz="0" w:space="0" w:color="auto" w:frame="1"/>
        </w:rPr>
        <w:t xml:space="preserve"> and </w:t>
      </w:r>
      <w:r w:rsidRPr="00F61ECE">
        <w:rPr>
          <w:rFonts w:eastAsia="Times New Roman" w:cs="Times New Roman"/>
          <w:b/>
          <w:bCs/>
          <w:color w:val="1F1F1F"/>
          <w:szCs w:val="24"/>
          <w:bdr w:val="none" w:sz="0" w:space="0" w:color="auto" w:frame="1"/>
        </w:rPr>
        <w:t>Cosmopolitan Duties</w:t>
      </w:r>
      <w:r w:rsidRPr="00F61ECE">
        <w:rPr>
          <w:rFonts w:eastAsia="Times New Roman" w:cs="Times New Roman"/>
          <w:color w:val="1F1F1F"/>
          <w:szCs w:val="24"/>
          <w:bdr w:val="none" w:sz="0" w:space="0" w:color="auto" w:frame="1"/>
        </w:rPr>
        <w:t>.</w:t>
      </w:r>
      <w:r w:rsidRPr="00F61ECE">
        <w:rPr>
          <w:rFonts w:eastAsia="Times New Roman" w:cs="Times New Roman"/>
          <w:color w:val="1F1F1F"/>
          <w:szCs w:val="24"/>
        </w:rPr>
        <w:t xml:space="preserve"> </w:t>
      </w:r>
    </w:p>
    <w:p w14:paraId="47A52772" w14:textId="77777777" w:rsidR="00F61ECE" w:rsidRPr="00F61ECE" w:rsidRDefault="00F61ECE" w:rsidP="00F61ECE">
      <w:pPr>
        <w:spacing w:after="0" w:line="240" w:lineRule="auto"/>
        <w:rPr>
          <w:rFonts w:eastAsia="Times New Roman" w:cs="Times New Roman"/>
          <w:color w:val="1F1F1F"/>
          <w:szCs w:val="24"/>
        </w:rPr>
      </w:pPr>
    </w:p>
    <w:p w14:paraId="25E721E6" w14:textId="332ADD71"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Cosmopolitan Rights insist that human dignity cannot be held hostage by state charity or ethnic membership. Every person possesses inalienable legal personhood and fundamental rights simply because they are human. In return, Cosmopolitan Duty places a direct moral obligation on the state</w:t>
      </w:r>
      <w:r w:rsidR="009B1CA2">
        <w:rPr>
          <w:rFonts w:eastAsia="Times New Roman" w:cs="Times New Roman"/>
          <w:color w:val="1F1F1F"/>
          <w:szCs w:val="24"/>
          <w:bdr w:val="none" w:sz="0" w:space="0" w:color="auto" w:frame="1"/>
        </w:rPr>
        <w:t xml:space="preserve"> </w:t>
      </w:r>
      <w:r w:rsidRPr="00F61ECE">
        <w:rPr>
          <w:rFonts w:eastAsia="Times New Roman" w:cs="Times New Roman"/>
          <w:color w:val="1F1F1F"/>
          <w:szCs w:val="24"/>
          <w:bdr w:val="none" w:sz="0" w:space="0" w:color="auto" w:frame="1"/>
        </w:rPr>
        <w:t>guided by the Harm Principle</w:t>
      </w:r>
      <w:r w:rsidR="009B1CA2">
        <w:rPr>
          <w:rFonts w:eastAsia="Times New Roman" w:cs="Times New Roman"/>
          <w:color w:val="1F1F1F"/>
          <w:szCs w:val="24"/>
          <w:bdr w:val="none" w:sz="0" w:space="0" w:color="auto" w:frame="1"/>
        </w:rPr>
        <w:t xml:space="preserve"> </w:t>
      </w:r>
      <w:r w:rsidRPr="00F61ECE">
        <w:rPr>
          <w:rFonts w:eastAsia="Times New Roman" w:cs="Times New Roman"/>
          <w:color w:val="1F1F1F"/>
          <w:szCs w:val="24"/>
          <w:bdr w:val="none" w:sz="0" w:space="0" w:color="auto" w:frame="1"/>
        </w:rPr>
        <w:t>to protect vulnerable populations within its borders rather than leaving them in structural neglect.</w:t>
      </w:r>
      <w:r w:rsidRPr="00F61ECE">
        <w:rPr>
          <w:rFonts w:eastAsia="Times New Roman" w:cs="Times New Roman"/>
          <w:color w:val="1F1F1F"/>
          <w:szCs w:val="24"/>
        </w:rPr>
        <w:t xml:space="preserve"> </w:t>
      </w:r>
    </w:p>
    <w:p w14:paraId="2F0C3418" w14:textId="77777777" w:rsidR="00F61ECE" w:rsidRPr="00F61ECE" w:rsidRDefault="00F61ECE" w:rsidP="00F61ECE">
      <w:pPr>
        <w:spacing w:after="0" w:line="240" w:lineRule="auto"/>
        <w:rPr>
          <w:rFonts w:eastAsia="Times New Roman" w:cs="Times New Roman"/>
          <w:color w:val="1F1F1F"/>
          <w:szCs w:val="24"/>
        </w:rPr>
      </w:pPr>
    </w:p>
    <w:p w14:paraId="023757C3"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For the youth born inside Geneva Camp, cosmopolitanism is not an abstract theory; it is the real, tangible taste of freedom. Freedom begins when a residential address stops defining your human worth. It means holding an unblocked passport, securing a formal job, opening a bank account, and walking out of the camp's narrow lanes knowing your voice, your dignity, and your future are recognized without fear or stigma.</w:t>
      </w:r>
      <w:r w:rsidRPr="00F61ECE">
        <w:rPr>
          <w:rFonts w:eastAsia="Times New Roman" w:cs="Times New Roman"/>
          <w:color w:val="1F1F1F"/>
          <w:szCs w:val="24"/>
        </w:rPr>
        <w:t xml:space="preserve"> </w:t>
      </w:r>
    </w:p>
    <w:p w14:paraId="202E7B8E" w14:textId="77777777" w:rsidR="00F61ECE" w:rsidRPr="00F61ECE" w:rsidRDefault="00F61ECE" w:rsidP="00F61ECE">
      <w:pPr>
        <w:spacing w:after="0" w:line="240" w:lineRule="auto"/>
        <w:rPr>
          <w:rFonts w:eastAsia="Times New Roman" w:cs="Times New Roman"/>
          <w:color w:val="1F1F1F"/>
          <w:szCs w:val="24"/>
        </w:rPr>
      </w:pPr>
    </w:p>
    <w:p w14:paraId="3246B468"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b/>
          <w:bCs/>
          <w:color w:val="1F1F1F"/>
          <w:szCs w:val="24"/>
          <w:bdr w:val="none" w:sz="0" w:space="0" w:color="auto" w:frame="1"/>
        </w:rPr>
        <w:t>[MONTAGE — 2008 COURT RULING &amp; REJECTED PASSPORT APPLICATION]</w:t>
      </w:r>
    </w:p>
    <w:p w14:paraId="5D83BEA4" w14:textId="77777777" w:rsidR="00F61ECE" w:rsidRPr="00F61ECE" w:rsidRDefault="00F61ECE" w:rsidP="00F61ECE">
      <w:pPr>
        <w:spacing w:after="0" w:line="240" w:lineRule="auto"/>
        <w:rPr>
          <w:rFonts w:eastAsia="Times New Roman" w:cs="Times New Roman"/>
          <w:color w:val="1F1F1F"/>
          <w:szCs w:val="24"/>
        </w:rPr>
      </w:pPr>
    </w:p>
    <w:p w14:paraId="223570A6"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The community refused to remain passive victims. Following decades of youth mobilization, a preliminary court victory in 2003 paved the way for the landmark 2008 High Court ruling, legally affirming that camp residents born in Bangladesh are birthright citizens.</w:t>
      </w:r>
      <w:r w:rsidRPr="00F61ECE">
        <w:rPr>
          <w:rFonts w:eastAsia="Times New Roman" w:cs="Times New Roman"/>
          <w:color w:val="1F1F1F"/>
          <w:szCs w:val="24"/>
        </w:rPr>
        <w:t xml:space="preserve"> </w:t>
      </w:r>
    </w:p>
    <w:p w14:paraId="772F4653" w14:textId="77777777" w:rsidR="00F61ECE" w:rsidRPr="00F61ECE" w:rsidRDefault="00F61ECE" w:rsidP="00F61ECE">
      <w:pPr>
        <w:spacing w:after="0" w:line="240" w:lineRule="auto"/>
        <w:rPr>
          <w:rFonts w:eastAsia="Times New Roman" w:cs="Times New Roman"/>
          <w:color w:val="1F1F1F"/>
          <w:szCs w:val="24"/>
        </w:rPr>
      </w:pPr>
    </w:p>
    <w:p w14:paraId="6BA9DCEE"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Statelessness was abolished on paper. But as researchers Khaled Hussain and Victoria </w:t>
      </w:r>
      <w:proofErr w:type="spellStart"/>
      <w:r w:rsidRPr="00F61ECE">
        <w:rPr>
          <w:rFonts w:eastAsia="Times New Roman" w:cs="Times New Roman"/>
          <w:color w:val="1F1F1F"/>
          <w:szCs w:val="24"/>
          <w:bdr w:val="none" w:sz="0" w:space="0" w:color="auto" w:frame="1"/>
        </w:rPr>
        <w:t>Redclift</w:t>
      </w:r>
      <w:proofErr w:type="spellEnd"/>
      <w:r w:rsidRPr="00F61ECE">
        <w:rPr>
          <w:rFonts w:eastAsia="Times New Roman" w:cs="Times New Roman"/>
          <w:color w:val="1F1F1F"/>
          <w:szCs w:val="24"/>
          <w:bdr w:val="none" w:sz="0" w:space="0" w:color="auto" w:frame="1"/>
        </w:rPr>
        <w:t xml:space="preserve"> demonstrate, winning rights on paper is not the same as having them in everyday life.</w:t>
      </w:r>
      <w:r w:rsidRPr="00F61ECE">
        <w:rPr>
          <w:rFonts w:eastAsia="Times New Roman" w:cs="Times New Roman"/>
          <w:color w:val="1F1F1F"/>
          <w:szCs w:val="24"/>
        </w:rPr>
        <w:t xml:space="preserve"> </w:t>
      </w:r>
    </w:p>
    <w:p w14:paraId="6E8D7D2F" w14:textId="77777777" w:rsidR="00F61ECE" w:rsidRPr="00F61ECE" w:rsidRDefault="00F61ECE" w:rsidP="00F61ECE">
      <w:pPr>
        <w:spacing w:after="0" w:line="240" w:lineRule="auto"/>
        <w:rPr>
          <w:rFonts w:eastAsia="Times New Roman" w:cs="Times New Roman"/>
          <w:color w:val="1F1F1F"/>
          <w:szCs w:val="24"/>
        </w:rPr>
      </w:pPr>
    </w:p>
    <w:p w14:paraId="4508757A"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Today, Bihari youth hold national ID cards and vote in elections. Yet when they apply for passports, commercial bank accounts, or formal jobs, police verifications systematically reject them the moment their permanent address lists a "camp". The camp address has become an invisible internal border keeping them trapped in second-class citizenship.</w:t>
      </w:r>
      <w:r w:rsidRPr="00F61ECE">
        <w:rPr>
          <w:rFonts w:eastAsia="Times New Roman" w:cs="Times New Roman"/>
          <w:color w:val="1F1F1F"/>
          <w:szCs w:val="24"/>
        </w:rPr>
        <w:t xml:space="preserve"> </w:t>
      </w:r>
    </w:p>
    <w:p w14:paraId="708F9778" w14:textId="77777777" w:rsidR="00F61ECE" w:rsidRPr="00F61ECE" w:rsidRDefault="00F61ECE" w:rsidP="00F61ECE">
      <w:pPr>
        <w:spacing w:after="0" w:line="240" w:lineRule="auto"/>
        <w:rPr>
          <w:rFonts w:eastAsia="Times New Roman" w:cs="Times New Roman"/>
          <w:color w:val="1F1F1F"/>
          <w:szCs w:val="24"/>
        </w:rPr>
      </w:pPr>
    </w:p>
    <w:p w14:paraId="4FB2C1BE" w14:textId="3D65C326"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b/>
          <w:bCs/>
          <w:color w:val="1F1F1F"/>
          <w:szCs w:val="24"/>
          <w:bdr w:val="none" w:sz="0" w:space="0" w:color="auto" w:frame="1"/>
        </w:rPr>
        <w:t>[</w:t>
      </w:r>
      <w:r w:rsidR="009B1CA2">
        <w:rPr>
          <w:rFonts w:eastAsia="Times New Roman" w:cs="Times New Roman"/>
          <w:b/>
          <w:bCs/>
          <w:color w:val="1F1F1F"/>
          <w:szCs w:val="24"/>
          <w:bdr w:val="none" w:sz="0" w:space="0" w:color="auto" w:frame="1"/>
        </w:rPr>
        <w:t>Closing</w:t>
      </w:r>
      <w:r w:rsidRPr="00F61ECE">
        <w:rPr>
          <w:rFonts w:eastAsia="Times New Roman" w:cs="Times New Roman"/>
          <w:b/>
          <w:bCs/>
          <w:color w:val="1F1F1F"/>
          <w:szCs w:val="24"/>
          <w:bdr w:val="none" w:sz="0" w:space="0" w:color="auto" w:frame="1"/>
        </w:rPr>
        <w:t>]</w:t>
      </w:r>
    </w:p>
    <w:p w14:paraId="17BF6646" w14:textId="77777777" w:rsidR="00F61ECE" w:rsidRPr="00F61ECE" w:rsidRDefault="00F61ECE" w:rsidP="00F61ECE">
      <w:pPr>
        <w:spacing w:after="0" w:line="240" w:lineRule="auto"/>
        <w:rPr>
          <w:rFonts w:eastAsia="Times New Roman" w:cs="Times New Roman"/>
          <w:color w:val="1F1F1F"/>
          <w:szCs w:val="24"/>
        </w:rPr>
      </w:pPr>
    </w:p>
    <w:p w14:paraId="24C35383"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lastRenderedPageBreak/>
        <w:t>A judicial verdict can grant formal rights on paper, but until our society dismantles administrative discrimination, cosmopolitan justice remains an unfinished promise. This is not a distant theoretical debate; it is an active test of global citizenship in our own society.</w:t>
      </w:r>
      <w:r w:rsidRPr="00F61ECE">
        <w:rPr>
          <w:rFonts w:eastAsia="Times New Roman" w:cs="Times New Roman"/>
          <w:color w:val="1F1F1F"/>
          <w:szCs w:val="24"/>
        </w:rPr>
        <w:t xml:space="preserve"> </w:t>
      </w:r>
    </w:p>
    <w:p w14:paraId="74679863" w14:textId="77777777" w:rsidR="00F61ECE" w:rsidRPr="00F61ECE" w:rsidRDefault="00F61ECE" w:rsidP="00F61ECE">
      <w:pPr>
        <w:spacing w:after="0" w:line="240" w:lineRule="auto"/>
        <w:rPr>
          <w:rFonts w:eastAsia="Times New Roman" w:cs="Times New Roman"/>
          <w:color w:val="1F1F1F"/>
          <w:szCs w:val="24"/>
        </w:rPr>
      </w:pPr>
    </w:p>
    <w:p w14:paraId="454DF8F6" w14:textId="77777777" w:rsidR="00F61ECE" w:rsidRPr="00F61ECE" w:rsidRDefault="00F61ECE" w:rsidP="00F61ECE">
      <w:pPr>
        <w:spacing w:after="0" w:line="240" w:lineRule="auto"/>
        <w:rPr>
          <w:rFonts w:eastAsia="Times New Roman" w:cs="Times New Roman"/>
          <w:color w:val="1F1F1F"/>
          <w:szCs w:val="24"/>
        </w:rPr>
      </w:pPr>
      <w:r w:rsidRPr="00F61ECE">
        <w:rPr>
          <w:rFonts w:eastAsia="Times New Roman" w:cs="Times New Roman"/>
          <w:color w:val="1F1F1F"/>
          <w:szCs w:val="24"/>
          <w:bdr w:val="none" w:sz="0" w:space="0" w:color="auto" w:frame="1"/>
        </w:rPr>
        <w:t xml:space="preserve">To see what this gap between paper law and lived reality </w:t>
      </w:r>
      <w:proofErr w:type="gramStart"/>
      <w:r w:rsidRPr="00F61ECE">
        <w:rPr>
          <w:rFonts w:eastAsia="Times New Roman" w:cs="Times New Roman"/>
          <w:color w:val="1F1F1F"/>
          <w:szCs w:val="24"/>
          <w:bdr w:val="none" w:sz="0" w:space="0" w:color="auto" w:frame="1"/>
        </w:rPr>
        <w:t>actually looks</w:t>
      </w:r>
      <w:proofErr w:type="gramEnd"/>
      <w:r w:rsidRPr="00F61ECE">
        <w:rPr>
          <w:rFonts w:eastAsia="Times New Roman" w:cs="Times New Roman"/>
          <w:color w:val="1F1F1F"/>
          <w:szCs w:val="24"/>
          <w:bdr w:val="none" w:sz="0" w:space="0" w:color="auto" w:frame="1"/>
        </w:rPr>
        <w:t xml:space="preserve"> like on the ground, I hand over to my teammate </w:t>
      </w:r>
      <w:r w:rsidRPr="00F61ECE">
        <w:rPr>
          <w:rFonts w:eastAsia="Times New Roman" w:cs="Times New Roman"/>
          <w:b/>
          <w:bCs/>
          <w:color w:val="1F1F1F"/>
          <w:szCs w:val="24"/>
          <w:bdr w:val="none" w:sz="0" w:space="0" w:color="auto" w:frame="1"/>
        </w:rPr>
        <w:t>Arnab</w:t>
      </w:r>
      <w:r w:rsidRPr="00F61ECE">
        <w:rPr>
          <w:rFonts w:eastAsia="Times New Roman" w:cs="Times New Roman"/>
          <w:color w:val="1F1F1F"/>
          <w:szCs w:val="24"/>
          <w:bdr w:val="none" w:sz="0" w:space="0" w:color="auto" w:frame="1"/>
        </w:rPr>
        <w:t>, who will take us directly inside the camps to examine the community's living conditions and daily infrastructure.</w:t>
      </w:r>
      <w:r w:rsidRPr="00F61ECE">
        <w:rPr>
          <w:rFonts w:eastAsia="Times New Roman" w:cs="Times New Roman"/>
          <w:color w:val="1F1F1F"/>
          <w:szCs w:val="24"/>
        </w:rPr>
        <w:t xml:space="preserve"> </w:t>
      </w:r>
    </w:p>
    <w:p w14:paraId="769482B4" w14:textId="02ED93B9" w:rsidR="00AC45AE" w:rsidRDefault="00AC45AE">
      <w:pPr>
        <w:pBdr>
          <w:bottom w:val="single" w:sz="6" w:space="1" w:color="CCCCCC"/>
        </w:pBdr>
        <w:spacing w:before="120" w:after="120"/>
      </w:pPr>
    </w:p>
    <w:p w14:paraId="6F48D81A" w14:textId="58974A9E" w:rsidR="00F61ECE" w:rsidRDefault="00F61ECE">
      <w:pPr>
        <w:pBdr>
          <w:bottom w:val="single" w:sz="6" w:space="1" w:color="CCCCCC"/>
        </w:pBdr>
        <w:spacing w:before="120" w:after="120"/>
      </w:pPr>
    </w:p>
    <w:p w14:paraId="3F1672D4" w14:textId="5B400A47" w:rsidR="00F61ECE" w:rsidRDefault="00F61ECE">
      <w:pPr>
        <w:pBdr>
          <w:bottom w:val="single" w:sz="6" w:space="1" w:color="CCCCCC"/>
        </w:pBdr>
        <w:spacing w:before="120" w:after="120"/>
      </w:pPr>
    </w:p>
    <w:p w14:paraId="42D728C6" w14:textId="53440BBF" w:rsidR="00F61ECE" w:rsidRDefault="00F61ECE">
      <w:pPr>
        <w:pBdr>
          <w:bottom w:val="single" w:sz="6" w:space="1" w:color="CCCCCC"/>
        </w:pBdr>
        <w:spacing w:before="120" w:after="120"/>
      </w:pPr>
    </w:p>
    <w:p w14:paraId="748373BA" w14:textId="71FBA280" w:rsidR="00F61ECE" w:rsidRDefault="00F61ECE">
      <w:pPr>
        <w:pBdr>
          <w:bottom w:val="single" w:sz="6" w:space="1" w:color="CCCCCC"/>
        </w:pBdr>
        <w:spacing w:before="120" w:after="120"/>
      </w:pPr>
    </w:p>
    <w:p w14:paraId="5D95F31F" w14:textId="5C9CD862" w:rsidR="00F61ECE" w:rsidRDefault="00F61ECE">
      <w:pPr>
        <w:pBdr>
          <w:bottom w:val="single" w:sz="6" w:space="1" w:color="CCCCCC"/>
        </w:pBdr>
        <w:spacing w:before="120" w:after="120"/>
      </w:pPr>
    </w:p>
    <w:p w14:paraId="08260591" w14:textId="35B0369C" w:rsidR="00F61ECE" w:rsidRDefault="00F61ECE">
      <w:pPr>
        <w:pBdr>
          <w:bottom w:val="single" w:sz="6" w:space="1" w:color="CCCCCC"/>
        </w:pBdr>
        <w:spacing w:before="120" w:after="120"/>
      </w:pPr>
    </w:p>
    <w:p w14:paraId="442BDB95" w14:textId="6193C5F5" w:rsidR="00F61ECE" w:rsidRDefault="00F61ECE">
      <w:pPr>
        <w:pBdr>
          <w:bottom w:val="single" w:sz="6" w:space="1" w:color="CCCCCC"/>
        </w:pBdr>
        <w:spacing w:before="120" w:after="120"/>
      </w:pPr>
    </w:p>
    <w:p w14:paraId="7D1E383E" w14:textId="0B60A67A" w:rsidR="00F61ECE" w:rsidRDefault="00F61ECE">
      <w:pPr>
        <w:pBdr>
          <w:bottom w:val="single" w:sz="6" w:space="1" w:color="CCCCCC"/>
        </w:pBdr>
        <w:spacing w:before="120" w:after="120"/>
      </w:pPr>
    </w:p>
    <w:p w14:paraId="15DF44DB" w14:textId="31613151" w:rsidR="00F61ECE" w:rsidRDefault="00F61ECE">
      <w:pPr>
        <w:pBdr>
          <w:bottom w:val="single" w:sz="6" w:space="1" w:color="CCCCCC"/>
        </w:pBdr>
        <w:spacing w:before="120" w:after="120"/>
      </w:pPr>
    </w:p>
    <w:p w14:paraId="78ADCD42" w14:textId="3EA85F34" w:rsidR="00F61ECE" w:rsidRDefault="00F61ECE">
      <w:pPr>
        <w:pBdr>
          <w:bottom w:val="single" w:sz="6" w:space="1" w:color="CCCCCC"/>
        </w:pBdr>
        <w:spacing w:before="120" w:after="120"/>
      </w:pPr>
    </w:p>
    <w:p w14:paraId="5C591C0A" w14:textId="619596C7" w:rsidR="00F61ECE" w:rsidRDefault="00F61ECE">
      <w:pPr>
        <w:pBdr>
          <w:bottom w:val="single" w:sz="6" w:space="1" w:color="CCCCCC"/>
        </w:pBdr>
        <w:spacing w:before="120" w:after="120"/>
      </w:pPr>
    </w:p>
    <w:p w14:paraId="42C646C1" w14:textId="4B953A9F" w:rsidR="00F61ECE" w:rsidRDefault="00F61ECE">
      <w:pPr>
        <w:pBdr>
          <w:bottom w:val="single" w:sz="6" w:space="1" w:color="CCCCCC"/>
        </w:pBdr>
        <w:spacing w:before="120" w:after="120"/>
      </w:pPr>
    </w:p>
    <w:p w14:paraId="36F6BDCE" w14:textId="32DC4BB9" w:rsidR="00F61ECE" w:rsidRDefault="00F61ECE">
      <w:pPr>
        <w:pBdr>
          <w:bottom w:val="single" w:sz="6" w:space="1" w:color="CCCCCC"/>
        </w:pBdr>
        <w:spacing w:before="120" w:after="120"/>
      </w:pPr>
    </w:p>
    <w:p w14:paraId="4851C169" w14:textId="0375C4BF" w:rsidR="00F61ECE" w:rsidRDefault="00F61ECE">
      <w:pPr>
        <w:pBdr>
          <w:bottom w:val="single" w:sz="6" w:space="1" w:color="CCCCCC"/>
        </w:pBdr>
        <w:spacing w:before="120" w:after="120"/>
      </w:pPr>
    </w:p>
    <w:p w14:paraId="58098091" w14:textId="5B54DDE4" w:rsidR="00F61ECE" w:rsidRDefault="00F61ECE">
      <w:pPr>
        <w:pBdr>
          <w:bottom w:val="single" w:sz="6" w:space="1" w:color="CCCCCC"/>
        </w:pBdr>
        <w:spacing w:before="120" w:after="120"/>
      </w:pPr>
    </w:p>
    <w:p w14:paraId="61D15C93" w14:textId="37D9710F" w:rsidR="00F61ECE" w:rsidRDefault="00F61ECE">
      <w:pPr>
        <w:pBdr>
          <w:bottom w:val="single" w:sz="6" w:space="1" w:color="CCCCCC"/>
        </w:pBdr>
        <w:spacing w:before="120" w:after="120"/>
      </w:pPr>
    </w:p>
    <w:p w14:paraId="2BD31761" w14:textId="5C34B04A" w:rsidR="00F61ECE" w:rsidRDefault="00F61ECE">
      <w:pPr>
        <w:pBdr>
          <w:bottom w:val="single" w:sz="6" w:space="1" w:color="CCCCCC"/>
        </w:pBdr>
        <w:spacing w:before="120" w:after="120"/>
      </w:pPr>
    </w:p>
    <w:p w14:paraId="6C5BEEBB" w14:textId="1DE272B3" w:rsidR="00F61ECE" w:rsidRDefault="00F61ECE">
      <w:pPr>
        <w:pBdr>
          <w:bottom w:val="single" w:sz="6" w:space="1" w:color="CCCCCC"/>
        </w:pBdr>
        <w:spacing w:before="120" w:after="120"/>
      </w:pPr>
    </w:p>
    <w:p w14:paraId="1356ECC2" w14:textId="08C59D01" w:rsidR="00F61ECE" w:rsidRDefault="00F61ECE">
      <w:pPr>
        <w:pBdr>
          <w:bottom w:val="single" w:sz="6" w:space="1" w:color="CCCCCC"/>
        </w:pBdr>
        <w:spacing w:before="120" w:after="120"/>
      </w:pPr>
    </w:p>
    <w:p w14:paraId="2024F0A1" w14:textId="44300BFB" w:rsidR="00F61ECE" w:rsidRDefault="00F61ECE">
      <w:pPr>
        <w:pBdr>
          <w:bottom w:val="single" w:sz="6" w:space="1" w:color="CCCCCC"/>
        </w:pBdr>
        <w:spacing w:before="120" w:after="120"/>
      </w:pPr>
    </w:p>
    <w:p w14:paraId="02487E92" w14:textId="322C471C" w:rsidR="00F61ECE" w:rsidRDefault="00F61ECE">
      <w:pPr>
        <w:pBdr>
          <w:bottom w:val="single" w:sz="6" w:space="1" w:color="CCCCCC"/>
        </w:pBdr>
        <w:spacing w:before="120" w:after="120"/>
      </w:pPr>
    </w:p>
    <w:p w14:paraId="67B0CD1F" w14:textId="04BA07D7" w:rsidR="00F61ECE" w:rsidRDefault="00F61ECE">
      <w:pPr>
        <w:pBdr>
          <w:bottom w:val="single" w:sz="6" w:space="1" w:color="CCCCCC"/>
        </w:pBdr>
        <w:spacing w:before="120" w:after="120"/>
      </w:pPr>
    </w:p>
    <w:p w14:paraId="6FCB73F5" w14:textId="77777777" w:rsidR="00F61ECE" w:rsidRDefault="00F61ECE">
      <w:pPr>
        <w:pBdr>
          <w:bottom w:val="single" w:sz="6" w:space="1" w:color="CCCCCC"/>
        </w:pBdr>
        <w:spacing w:before="120" w:after="120"/>
      </w:pPr>
    </w:p>
    <w:p w14:paraId="3EA8DA94" w14:textId="6ED634F5" w:rsidR="00F61ECE" w:rsidRDefault="00F61ECE">
      <w:pPr>
        <w:pBdr>
          <w:bottom w:val="single" w:sz="6" w:space="1" w:color="CCCCCC"/>
        </w:pBdr>
        <w:spacing w:before="120" w:after="120"/>
      </w:pPr>
    </w:p>
    <w:p w14:paraId="2ABA8900" w14:textId="77777777" w:rsidR="00F61ECE" w:rsidRDefault="00F61ECE">
      <w:pPr>
        <w:pBdr>
          <w:bottom w:val="single" w:sz="6" w:space="1" w:color="CCCCCC"/>
        </w:pBdr>
        <w:spacing w:before="120" w:after="120"/>
      </w:pPr>
    </w:p>
    <w:p w14:paraId="5F4DD6D9" w14:textId="77777777" w:rsidR="00B767DB" w:rsidRDefault="00B767DB">
      <w:pPr>
        <w:spacing w:before="80" w:after="120"/>
        <w:ind w:left="720" w:hanging="720"/>
      </w:pPr>
    </w:p>
    <w:p w14:paraId="32E51A36" w14:textId="77777777" w:rsidR="004E1817" w:rsidRDefault="004E1817" w:rsidP="00B767DB">
      <w:pPr>
        <w:spacing w:before="80" w:after="120"/>
        <w:ind w:left="720" w:hanging="720"/>
        <w:jc w:val="center"/>
        <w:rPr>
          <w:b/>
          <w:bCs/>
        </w:rPr>
      </w:pPr>
    </w:p>
    <w:p w14:paraId="2B4948D0" w14:textId="211EBA7D" w:rsidR="00B767DB" w:rsidRPr="00B767DB" w:rsidRDefault="00B767DB" w:rsidP="00B767DB">
      <w:pPr>
        <w:spacing w:before="80" w:after="120"/>
        <w:ind w:left="720" w:hanging="720"/>
        <w:jc w:val="center"/>
        <w:rPr>
          <w:b/>
          <w:bCs/>
        </w:rPr>
      </w:pPr>
      <w:r w:rsidRPr="00B767DB">
        <w:rPr>
          <w:b/>
          <w:bCs/>
        </w:rPr>
        <w:t>References</w:t>
      </w:r>
    </w:p>
    <w:p w14:paraId="50B4E3A9" w14:textId="77777777" w:rsidR="00B767DB" w:rsidRDefault="00B767DB" w:rsidP="00B767DB">
      <w:pPr>
        <w:spacing w:before="80" w:after="120"/>
      </w:pPr>
    </w:p>
    <w:p w14:paraId="7F8C2D73" w14:textId="77777777" w:rsidR="00B767DB" w:rsidRDefault="00B767DB" w:rsidP="00B767DB">
      <w:pPr>
        <w:spacing w:before="80" w:after="120" w:line="360" w:lineRule="auto"/>
        <w:ind w:left="720" w:hanging="720"/>
      </w:pPr>
      <w:r>
        <w:t xml:space="preserve">Anderson, B. (1983). </w:t>
      </w:r>
      <w:r>
        <w:rPr>
          <w:i/>
        </w:rPr>
        <w:t>Imagined communities: Reflections on the origin and spread of nationalism</w:t>
      </w:r>
      <w:r>
        <w:t>. Verso.</w:t>
      </w:r>
    </w:p>
    <w:p w14:paraId="3FB8A145" w14:textId="77777777" w:rsidR="00B767DB" w:rsidRDefault="00B767DB" w:rsidP="00B767DB">
      <w:pPr>
        <w:spacing w:before="80" w:after="120" w:line="360" w:lineRule="auto"/>
        <w:ind w:left="720" w:hanging="720"/>
      </w:pPr>
      <w:r>
        <w:t xml:space="preserve">Arendt, H. (1968). The decline of the nation-state and the end of the rights of man. In </w:t>
      </w:r>
      <w:r>
        <w:rPr>
          <w:i/>
        </w:rPr>
        <w:t>The origins of totalitarianism</w:t>
      </w:r>
      <w:r>
        <w:t xml:space="preserve"> (pp. 267–302). Harcourt Brace Jovanovich.</w:t>
      </w:r>
    </w:p>
    <w:p w14:paraId="1CCE1385" w14:textId="4E120735" w:rsidR="00B767DB" w:rsidRDefault="00B767DB" w:rsidP="00B767DB">
      <w:pPr>
        <w:spacing w:before="80" w:after="120" w:line="360" w:lineRule="auto"/>
        <w:ind w:left="720" w:hanging="720"/>
      </w:pPr>
      <w:r w:rsidRPr="00B767DB">
        <w:t>Hussain, K. (2009). The end of Bihari statelessness. Forced Migration Review, 32, 30–31. https://webarchive.archive.unhcr.org/20151217011755if_/http://www.refworld.org/pdfid/4c6cefb02.pdf</w:t>
      </w:r>
    </w:p>
    <w:p w14:paraId="57228AE3" w14:textId="3D706B38" w:rsidR="00B767DB" w:rsidRDefault="00B767DB" w:rsidP="00B767DB">
      <w:pPr>
        <w:spacing w:before="80" w:after="120" w:line="360" w:lineRule="auto"/>
        <w:ind w:left="720" w:hanging="720"/>
      </w:pPr>
      <w:r>
        <w:t xml:space="preserve">Linklater, A. (2002). Cosmopolitan citizenship. In E. F. Isin &amp; B. S. Turner (Eds.), </w:t>
      </w:r>
      <w:r>
        <w:rPr>
          <w:i/>
        </w:rPr>
        <w:t>Handbook of citizenship studies</w:t>
      </w:r>
      <w:r>
        <w:t xml:space="preserve"> (pp. 317–332). SAGE Publications. </w:t>
      </w:r>
      <w:r>
        <w:rPr>
          <w:color w:val="0563C1"/>
          <w:u w:val="single"/>
        </w:rPr>
        <w:t>https://doi.org/10.4135/9781848608276.n19</w:t>
      </w:r>
    </w:p>
    <w:p w14:paraId="633707A5" w14:textId="77777777" w:rsidR="00B767DB" w:rsidRDefault="00B767DB" w:rsidP="00B767DB">
      <w:pPr>
        <w:spacing w:before="80" w:after="120" w:line="360" w:lineRule="auto"/>
        <w:ind w:left="720" w:hanging="720"/>
      </w:pPr>
      <w:r>
        <w:t xml:space="preserve">Minority Rights Group International. (2018). </w:t>
      </w:r>
      <w:r>
        <w:rPr>
          <w:i/>
        </w:rPr>
        <w:t>Biharis in Bangladesh</w:t>
      </w:r>
      <w:r>
        <w:t xml:space="preserve">. </w:t>
      </w:r>
      <w:r>
        <w:rPr>
          <w:color w:val="0563C1"/>
          <w:u w:val="single"/>
        </w:rPr>
        <w:t>https://minorityrights.org/communities/biharis/</w:t>
      </w:r>
    </w:p>
    <w:p w14:paraId="512D3555" w14:textId="77777777" w:rsidR="00B767DB" w:rsidRDefault="00B767DB" w:rsidP="00B767DB">
      <w:pPr>
        <w:spacing w:before="80" w:after="120" w:line="360" w:lineRule="auto"/>
        <w:ind w:left="720" w:hanging="720"/>
      </w:pPr>
      <w:r>
        <w:t xml:space="preserve">Nussbaum, M. C. (1994). Patriotism and cosmopolitanism. </w:t>
      </w:r>
      <w:r>
        <w:rPr>
          <w:i/>
        </w:rPr>
        <w:t>Boston Review</w:t>
      </w:r>
      <w:r>
        <w:t xml:space="preserve">, </w:t>
      </w:r>
      <w:r>
        <w:rPr>
          <w:i/>
        </w:rPr>
        <w:t>19</w:t>
      </w:r>
      <w:r>
        <w:t>(5), 3–16.</w:t>
      </w:r>
    </w:p>
    <w:p w14:paraId="4E63E967" w14:textId="77777777" w:rsidR="00B767DB" w:rsidRDefault="00B767DB" w:rsidP="00B767DB">
      <w:pPr>
        <w:spacing w:before="80" w:after="120" w:line="360" w:lineRule="auto"/>
        <w:ind w:left="720" w:hanging="720"/>
      </w:pPr>
      <w:r>
        <w:t xml:space="preserve">Redclift, V. (2013). The 'Bihari' or 'Stranded Pakistani' community and the political economy of statelessness in Bangladesh. </w:t>
      </w:r>
      <w:r>
        <w:rPr>
          <w:i/>
        </w:rPr>
        <w:t>Asian Affairs</w:t>
      </w:r>
      <w:r>
        <w:t xml:space="preserve">, </w:t>
      </w:r>
      <w:r>
        <w:rPr>
          <w:i/>
        </w:rPr>
        <w:t>44</w:t>
      </w:r>
      <w:r>
        <w:t xml:space="preserve">(2), 258–271. </w:t>
      </w:r>
      <w:r>
        <w:rPr>
          <w:color w:val="0563C1"/>
          <w:u w:val="single"/>
        </w:rPr>
        <w:t>https://doi.org/10.1080/03068374.2013.790795</w:t>
      </w:r>
    </w:p>
    <w:p w14:paraId="69FDE0FE" w14:textId="7DF65514" w:rsidR="00B767DB" w:rsidRDefault="00B767DB" w:rsidP="00B767DB">
      <w:pPr>
        <w:spacing w:before="80" w:after="120" w:line="360" w:lineRule="auto"/>
        <w:ind w:left="720" w:hanging="720"/>
      </w:pPr>
      <w:r>
        <w:t xml:space="preserve">Siddiqi, D. M. (2013). Left behind by the nation: 'Stranded Pakistanis' in Bangladesh. </w:t>
      </w:r>
      <w:r>
        <w:rPr>
          <w:i/>
        </w:rPr>
        <w:t>Sites: A Journal of Social Anthropology and Cultural Studies</w:t>
      </w:r>
      <w:r>
        <w:t xml:space="preserve">, </w:t>
      </w:r>
      <w:r>
        <w:rPr>
          <w:i/>
        </w:rPr>
        <w:t>10</w:t>
      </w:r>
      <w:r>
        <w:t>(</w:t>
      </w:r>
      <w:r w:rsidR="00B76985">
        <w:t>2</w:t>
      </w:r>
      <w:r>
        <w:t xml:space="preserve">), 150–183. </w:t>
      </w:r>
      <w:r>
        <w:rPr>
          <w:color w:val="0563C1"/>
          <w:u w:val="single"/>
        </w:rPr>
        <w:t>https://doi.org/10.11157/sites-vol10iss1id214</w:t>
      </w:r>
    </w:p>
    <w:p w14:paraId="4BAD628A" w14:textId="77777777" w:rsidR="00B767DB" w:rsidRDefault="00B767DB" w:rsidP="00B767DB">
      <w:pPr>
        <w:spacing w:before="80" w:after="120" w:line="360" w:lineRule="auto"/>
        <w:ind w:left="720" w:hanging="720"/>
      </w:pPr>
      <w:r>
        <w:t xml:space="preserve">Walzer, M. (1983). </w:t>
      </w:r>
      <w:r>
        <w:rPr>
          <w:i/>
        </w:rPr>
        <w:t>Spheres of justice: A defense of pluralism and equality</w:t>
      </w:r>
      <w:r>
        <w:t>. Basic Books.</w:t>
      </w:r>
    </w:p>
    <w:p w14:paraId="3E516EE4" w14:textId="331644A7" w:rsidR="00AC45AE" w:rsidRDefault="00AC45AE">
      <w:pPr>
        <w:spacing w:before="60" w:after="80"/>
        <w:ind w:left="576" w:hanging="360"/>
      </w:pPr>
    </w:p>
    <w:sectPr w:rsidR="00AC45A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D91"/>
    <w:rsid w:val="00326F90"/>
    <w:rsid w:val="004E1817"/>
    <w:rsid w:val="009B1CA2"/>
    <w:rsid w:val="00AA1D8D"/>
    <w:rsid w:val="00AC45AE"/>
    <w:rsid w:val="00B47730"/>
    <w:rsid w:val="00B767DB"/>
    <w:rsid w:val="00B76985"/>
    <w:rsid w:val="00CB0664"/>
    <w:rsid w:val="00F61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D152F"/>
  <w14:defaultImageDpi w14:val="300"/>
  <w15:docId w15:val="{B6DEADE4-C00E-431E-B991-0E45371C6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1817"/>
    <w:pPr>
      <w:spacing w:before="100" w:beforeAutospacing="1" w:after="100" w:afterAutospacing="1" w:line="240" w:lineRule="auto"/>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148619">
      <w:bodyDiv w:val="1"/>
      <w:marLeft w:val="0"/>
      <w:marRight w:val="0"/>
      <w:marTop w:val="0"/>
      <w:marBottom w:val="0"/>
      <w:divBdr>
        <w:top w:val="none" w:sz="0" w:space="0" w:color="auto"/>
        <w:left w:val="none" w:sz="0" w:space="0" w:color="auto"/>
        <w:bottom w:val="none" w:sz="0" w:space="0" w:color="auto"/>
        <w:right w:val="none" w:sz="0" w:space="0" w:color="auto"/>
      </w:divBdr>
    </w:div>
    <w:div w:id="1493718270">
      <w:bodyDiv w:val="1"/>
      <w:marLeft w:val="0"/>
      <w:marRight w:val="0"/>
      <w:marTop w:val="0"/>
      <w:marBottom w:val="0"/>
      <w:divBdr>
        <w:top w:val="none" w:sz="0" w:space="0" w:color="auto"/>
        <w:left w:val="none" w:sz="0" w:space="0" w:color="auto"/>
        <w:bottom w:val="none" w:sz="0" w:space="0" w:color="auto"/>
        <w:right w:val="none" w:sz="0" w:space="0" w:color="auto"/>
      </w:divBdr>
    </w:div>
    <w:div w:id="19997263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Tahsin</cp:lastModifiedBy>
  <cp:revision>4</cp:revision>
  <dcterms:created xsi:type="dcterms:W3CDTF">2013-12-23T23:15:00Z</dcterms:created>
  <dcterms:modified xsi:type="dcterms:W3CDTF">2026-09-04T15:18:00Z</dcterms:modified>
  <cp:category/>
</cp:coreProperties>
</file>