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083AE" w14:textId="5F43C2FA" w:rsidR="008866ED" w:rsidRDefault="00017B1D">
      <w:pPr>
        <w:spacing w:after="400"/>
        <w:jc w:val="center"/>
        <w:rPr>
          <w:b/>
          <w:bCs/>
          <w:sz w:val="28"/>
          <w:szCs w:val="28"/>
        </w:rPr>
      </w:pPr>
      <w:r>
        <w:rPr>
          <w:b/>
          <w:bCs/>
          <w:sz w:val="28"/>
          <w:szCs w:val="28"/>
        </w:rPr>
        <w:t>Midterm Essay Outline</w:t>
      </w:r>
    </w:p>
    <w:p w14:paraId="74E889AB" w14:textId="77777777" w:rsidR="008866ED" w:rsidRPr="005A6C86" w:rsidRDefault="00017B1D">
      <w:pPr>
        <w:spacing w:after="100"/>
        <w:jc w:val="center"/>
        <w:rPr>
          <w:b/>
          <w:bCs/>
        </w:rPr>
      </w:pPr>
      <w:r w:rsidRPr="005A6C86">
        <w:rPr>
          <w:b/>
          <w:bCs/>
          <w:i/>
          <w:iCs/>
          <w:sz w:val="24"/>
          <w:szCs w:val="24"/>
        </w:rPr>
        <w:t>Left Behind by Two Nations: Contested Citizenship, Statelessness, and the Bihari Community of Bangladesh</w:t>
      </w:r>
    </w:p>
    <w:p w14:paraId="5F35D9F4" w14:textId="23CBA4AA" w:rsidR="008866ED" w:rsidRDefault="00017B1D">
      <w:pPr>
        <w:spacing w:before="300" w:after="150"/>
      </w:pPr>
      <w:r>
        <w:rPr>
          <w:b/>
          <w:bCs/>
          <w:sz w:val="24"/>
          <w:szCs w:val="24"/>
          <w:u w:val="single"/>
        </w:rPr>
        <w:t>INTRODUCTION (Target: ~180 words)</w:t>
      </w:r>
    </w:p>
    <w:p w14:paraId="3ECEDAE0" w14:textId="77777777" w:rsidR="008866ED" w:rsidRDefault="00017B1D">
      <w:pPr>
        <w:spacing w:after="120" w:line="360" w:lineRule="auto"/>
      </w:pPr>
      <w:r>
        <w:rPr>
          <w:b/>
          <w:bCs/>
          <w:sz w:val="24"/>
          <w:szCs w:val="24"/>
        </w:rPr>
        <w:t xml:space="preserve">Context: </w:t>
      </w:r>
      <w:r>
        <w:rPr>
          <w:sz w:val="24"/>
          <w:szCs w:val="24"/>
        </w:rPr>
        <w:t xml:space="preserve">One to two sentences introducing who the </w:t>
      </w:r>
      <w:proofErr w:type="spellStart"/>
      <w:r>
        <w:rPr>
          <w:sz w:val="24"/>
          <w:szCs w:val="24"/>
        </w:rPr>
        <w:t>Biharis</w:t>
      </w:r>
      <w:proofErr w:type="spellEnd"/>
      <w:r>
        <w:rPr>
          <w:sz w:val="24"/>
          <w:szCs w:val="24"/>
        </w:rPr>
        <w:t xml:space="preserve"> are and why their ci</w:t>
      </w:r>
      <w:r>
        <w:rPr>
          <w:sz w:val="24"/>
          <w:szCs w:val="24"/>
        </w:rPr>
        <w:t>tizenship status has been contested since 1947 and especially since 1971.</w:t>
      </w:r>
    </w:p>
    <w:p w14:paraId="20AFAB3A" w14:textId="77777777" w:rsidR="008866ED" w:rsidRDefault="00017B1D">
      <w:pPr>
        <w:spacing w:after="120" w:line="360" w:lineRule="auto"/>
      </w:pPr>
      <w:r>
        <w:rPr>
          <w:b/>
          <w:bCs/>
          <w:sz w:val="24"/>
          <w:szCs w:val="24"/>
        </w:rPr>
        <w:t xml:space="preserve">Thesis Statement: </w:t>
      </w:r>
      <w:r>
        <w:rPr>
          <w:sz w:val="24"/>
          <w:szCs w:val="24"/>
        </w:rPr>
        <w:t xml:space="preserve">The case of the Bihari ("stranded Pakistani") community shows that legal citizenship alone cannot resolve exclusion when a nation's identity is built on ethnic and </w:t>
      </w:r>
      <w:r>
        <w:rPr>
          <w:sz w:val="24"/>
          <w:szCs w:val="24"/>
        </w:rPr>
        <w:t xml:space="preserve">linguistic belonging rather than on legal status alone. Even after Bangladesh's courts granted </w:t>
      </w:r>
      <w:proofErr w:type="spellStart"/>
      <w:r>
        <w:rPr>
          <w:sz w:val="24"/>
          <w:szCs w:val="24"/>
        </w:rPr>
        <w:t>Biharis</w:t>
      </w:r>
      <w:proofErr w:type="spellEnd"/>
      <w:r>
        <w:rPr>
          <w:sz w:val="24"/>
          <w:szCs w:val="24"/>
        </w:rPr>
        <w:t xml:space="preserve"> citizenship in 2003 and 2008, the community remains caught in a state of exception, because their inclusion in the legal nation was never matched by incl</w:t>
      </w:r>
      <w:r>
        <w:rPr>
          <w:sz w:val="24"/>
          <w:szCs w:val="24"/>
        </w:rPr>
        <w:t>usion in the imagined nation.</w:t>
      </w:r>
    </w:p>
    <w:p w14:paraId="0E48A079" w14:textId="5C79EE57" w:rsidR="008866ED" w:rsidRDefault="00017B1D">
      <w:pPr>
        <w:spacing w:after="120" w:line="360" w:lineRule="auto"/>
      </w:pPr>
      <w:r>
        <w:rPr>
          <w:b/>
          <w:bCs/>
          <w:sz w:val="24"/>
          <w:szCs w:val="24"/>
        </w:rPr>
        <w:t xml:space="preserve">Roadmap: </w:t>
      </w:r>
      <w:r>
        <w:rPr>
          <w:sz w:val="24"/>
          <w:szCs w:val="24"/>
        </w:rPr>
        <w:t>One closing sentence previewing the four sections</w:t>
      </w:r>
      <w:r w:rsidR="000020C3">
        <w:rPr>
          <w:sz w:val="24"/>
          <w:szCs w:val="24"/>
        </w:rPr>
        <w:t>:</w:t>
      </w:r>
      <w:r>
        <w:rPr>
          <w:sz w:val="24"/>
          <w:szCs w:val="24"/>
        </w:rPr>
        <w:t xml:space="preserve"> the historical case, the legal mechanics of citizenship and the camp as exception, statelessness and the political struggle for rights, and the deeper conflict betwee</w:t>
      </w:r>
      <w:r>
        <w:rPr>
          <w:sz w:val="24"/>
          <w:szCs w:val="24"/>
        </w:rPr>
        <w:t>n national and ethnic identity.</w:t>
      </w:r>
    </w:p>
    <w:p w14:paraId="23D6AE48" w14:textId="77777777" w:rsidR="00017B1D" w:rsidRDefault="00017B1D" w:rsidP="00017B1D">
      <w:pPr>
        <w:spacing w:after="120" w:line="360" w:lineRule="auto"/>
      </w:pPr>
      <w:r>
        <w:rPr>
          <w:b/>
          <w:bCs/>
          <w:sz w:val="24"/>
          <w:szCs w:val="24"/>
        </w:rPr>
        <w:t xml:space="preserve">References </w:t>
      </w:r>
      <w:r w:rsidR="005A6C86">
        <w:rPr>
          <w:b/>
          <w:bCs/>
          <w:sz w:val="24"/>
          <w:szCs w:val="24"/>
        </w:rPr>
        <w:t xml:space="preserve">will </w:t>
      </w:r>
      <w:r>
        <w:rPr>
          <w:b/>
          <w:bCs/>
          <w:sz w:val="24"/>
          <w:szCs w:val="24"/>
        </w:rPr>
        <w:t>use</w:t>
      </w:r>
      <w:r>
        <w:rPr>
          <w:b/>
          <w:bCs/>
          <w:sz w:val="24"/>
          <w:szCs w:val="24"/>
        </w:rPr>
        <w:t xml:space="preserve">: </w:t>
      </w:r>
      <w:r>
        <w:rPr>
          <w:sz w:val="24"/>
          <w:szCs w:val="24"/>
        </w:rPr>
        <w:t>Siddiqi (2013).</w:t>
      </w:r>
    </w:p>
    <w:p w14:paraId="59E199BA" w14:textId="7DE8D4E6" w:rsidR="000020C3" w:rsidRPr="00017B1D" w:rsidRDefault="00017B1D" w:rsidP="00017B1D">
      <w:pPr>
        <w:spacing w:after="120" w:line="360" w:lineRule="auto"/>
      </w:pPr>
      <w:r>
        <w:rPr>
          <w:b/>
          <w:bCs/>
          <w:sz w:val="24"/>
          <w:szCs w:val="24"/>
          <w:u w:val="single"/>
        </w:rPr>
        <w:t xml:space="preserve">BODY PARAGRAPH 1 — The Case: Who Are the </w:t>
      </w:r>
      <w:proofErr w:type="spellStart"/>
      <w:r>
        <w:rPr>
          <w:b/>
          <w:bCs/>
          <w:sz w:val="24"/>
          <w:szCs w:val="24"/>
          <w:u w:val="single"/>
        </w:rPr>
        <w:t>Biharis</w:t>
      </w:r>
      <w:proofErr w:type="spellEnd"/>
      <w:r>
        <w:rPr>
          <w:b/>
          <w:bCs/>
          <w:sz w:val="24"/>
          <w:szCs w:val="24"/>
          <w:u w:val="single"/>
        </w:rPr>
        <w:t>? (Target: ~280 words)</w:t>
      </w:r>
    </w:p>
    <w:p w14:paraId="39D21B9A" w14:textId="77777777" w:rsidR="008866ED" w:rsidRDefault="00017B1D">
      <w:pPr>
        <w:spacing w:after="120" w:line="360" w:lineRule="auto"/>
      </w:pPr>
      <w:r>
        <w:rPr>
          <w:b/>
          <w:bCs/>
          <w:sz w:val="24"/>
          <w:szCs w:val="24"/>
        </w:rPr>
        <w:t xml:space="preserve">Topic sentence: </w:t>
      </w:r>
      <w:r>
        <w:rPr>
          <w:sz w:val="24"/>
          <w:szCs w:val="24"/>
        </w:rPr>
        <w:t>To understand why Bihari citizenship remains contested today, it is necessary to first trace their p</w:t>
      </w:r>
      <w:r>
        <w:rPr>
          <w:sz w:val="24"/>
          <w:szCs w:val="24"/>
        </w:rPr>
        <w:t>ath from citizens of Pakistan to a stateless population caught between two nations.</w:t>
      </w:r>
    </w:p>
    <w:p w14:paraId="4C79C46D" w14:textId="77777777" w:rsidR="008866ED" w:rsidRDefault="00017B1D">
      <w:pPr>
        <w:spacing w:after="120" w:line="360" w:lineRule="auto"/>
      </w:pPr>
      <w:r>
        <w:rPr>
          <w:b/>
          <w:bCs/>
          <w:sz w:val="24"/>
          <w:szCs w:val="24"/>
        </w:rPr>
        <w:t xml:space="preserve">What to discuss: </w:t>
      </w:r>
      <w:r>
        <w:rPr>
          <w:sz w:val="24"/>
          <w:szCs w:val="24"/>
        </w:rPr>
        <w:t>(1) The 1946 Bihar riots and 1947 migration of Urdu-speaking Muslims to East Bengal as full citizens of the newly created Pakistan. (2) Growing cultural an</w:t>
      </w:r>
      <w:r>
        <w:rPr>
          <w:sz w:val="24"/>
          <w:szCs w:val="24"/>
        </w:rPr>
        <w:t>d economic tension between Bengali speakers and non-Bengali "</w:t>
      </w:r>
      <w:proofErr w:type="spellStart"/>
      <w:r>
        <w:rPr>
          <w:sz w:val="24"/>
          <w:szCs w:val="24"/>
        </w:rPr>
        <w:t>Biharis</w:t>
      </w:r>
      <w:proofErr w:type="spellEnd"/>
      <w:r>
        <w:rPr>
          <w:sz w:val="24"/>
          <w:szCs w:val="24"/>
        </w:rPr>
        <w:t xml:space="preserve">" through the 1950s-60s language movement. (3) The 1971 Liberation War, Bihari association with the Pakistani army and the </w:t>
      </w:r>
      <w:proofErr w:type="spellStart"/>
      <w:r>
        <w:rPr>
          <w:sz w:val="24"/>
          <w:szCs w:val="24"/>
        </w:rPr>
        <w:t>razakar</w:t>
      </w:r>
      <w:proofErr w:type="spellEnd"/>
      <w:r>
        <w:rPr>
          <w:sz w:val="24"/>
          <w:szCs w:val="24"/>
        </w:rPr>
        <w:t>/collaborator label. (4) Post-1971 statelessness: Banglade</w:t>
      </w:r>
      <w:r>
        <w:rPr>
          <w:sz w:val="24"/>
          <w:szCs w:val="24"/>
        </w:rPr>
        <w:t xml:space="preserve">sh's 1972 Citizenship Order excluded those who applied for repatriation to Pakistan; the community was confined to camps such as Geneva Camp. (5) The 2003 and 2008 High Court rulings that finally recognized </w:t>
      </w:r>
      <w:proofErr w:type="spellStart"/>
      <w:r>
        <w:rPr>
          <w:sz w:val="24"/>
          <w:szCs w:val="24"/>
        </w:rPr>
        <w:t>Biharis</w:t>
      </w:r>
      <w:proofErr w:type="spellEnd"/>
      <w:r>
        <w:rPr>
          <w:sz w:val="24"/>
          <w:szCs w:val="24"/>
        </w:rPr>
        <w:t xml:space="preserve"> as Bangladeshi citizens. (6) Brief note o</w:t>
      </w:r>
      <w:r>
        <w:rPr>
          <w:sz w:val="24"/>
          <w:szCs w:val="24"/>
        </w:rPr>
        <w:t>n present-day camp conditions to show the legal victory did not end the lived exclusion.</w:t>
      </w:r>
    </w:p>
    <w:p w14:paraId="76716F7F" w14:textId="647EF3B9" w:rsidR="008866ED" w:rsidRDefault="00017B1D">
      <w:pPr>
        <w:spacing w:after="120" w:line="360" w:lineRule="auto"/>
      </w:pPr>
      <w:r>
        <w:rPr>
          <w:b/>
          <w:bCs/>
          <w:sz w:val="24"/>
          <w:szCs w:val="24"/>
        </w:rPr>
        <w:lastRenderedPageBreak/>
        <w:t xml:space="preserve">Concluding sentence: </w:t>
      </w:r>
      <w:r>
        <w:rPr>
          <w:sz w:val="24"/>
          <w:szCs w:val="24"/>
        </w:rPr>
        <w:t>This history shows that Bihari citizenship has never been a single, settled status</w:t>
      </w:r>
      <w:r w:rsidR="000020C3">
        <w:rPr>
          <w:sz w:val="24"/>
          <w:szCs w:val="24"/>
        </w:rPr>
        <w:t>,</w:t>
      </w:r>
      <w:r>
        <w:rPr>
          <w:sz w:val="24"/>
          <w:szCs w:val="24"/>
        </w:rPr>
        <w:t xml:space="preserve"> it has been fought over, granted, withdrawn in practice, and </w:t>
      </w:r>
      <w:r>
        <w:rPr>
          <w:sz w:val="24"/>
          <w:szCs w:val="24"/>
        </w:rPr>
        <w:t>only partially restored, which sets up the theoretical questions explored in the rest of the essay.</w:t>
      </w:r>
    </w:p>
    <w:p w14:paraId="78CF5C89" w14:textId="3C19DB70" w:rsidR="008866ED" w:rsidRDefault="005A6C86">
      <w:pPr>
        <w:spacing w:after="120" w:line="360" w:lineRule="auto"/>
      </w:pPr>
      <w:r>
        <w:rPr>
          <w:b/>
          <w:bCs/>
          <w:sz w:val="24"/>
          <w:szCs w:val="24"/>
        </w:rPr>
        <w:t>References will use</w:t>
      </w:r>
      <w:r w:rsidR="00017B1D">
        <w:rPr>
          <w:b/>
          <w:bCs/>
          <w:sz w:val="24"/>
          <w:szCs w:val="24"/>
        </w:rPr>
        <w:t xml:space="preserve">: </w:t>
      </w:r>
      <w:r w:rsidR="00017B1D">
        <w:rPr>
          <w:sz w:val="24"/>
          <w:szCs w:val="24"/>
        </w:rPr>
        <w:t>Siddiqi (2013); Roy (2020); Sen (1999, 2000).</w:t>
      </w:r>
    </w:p>
    <w:p w14:paraId="461DE848" w14:textId="61FC7930" w:rsidR="008866ED" w:rsidRDefault="00017B1D">
      <w:pPr>
        <w:spacing w:before="300" w:after="150"/>
      </w:pPr>
      <w:r>
        <w:rPr>
          <w:b/>
          <w:bCs/>
          <w:sz w:val="24"/>
          <w:szCs w:val="24"/>
          <w:u w:val="single"/>
        </w:rPr>
        <w:t>BODY PARAGRAPH 2 — Citizenship on Paper and the Camp as a Space of Exception (Target: ~4</w:t>
      </w:r>
      <w:r>
        <w:rPr>
          <w:b/>
          <w:bCs/>
          <w:sz w:val="24"/>
          <w:szCs w:val="24"/>
          <w:u w:val="single"/>
        </w:rPr>
        <w:t>00 words)</w:t>
      </w:r>
    </w:p>
    <w:p w14:paraId="0464FD62" w14:textId="2C4ED384" w:rsidR="008866ED" w:rsidRDefault="00017B1D">
      <w:pPr>
        <w:spacing w:after="120" w:line="360" w:lineRule="auto"/>
      </w:pPr>
      <w:r>
        <w:rPr>
          <w:b/>
          <w:bCs/>
          <w:sz w:val="24"/>
          <w:szCs w:val="24"/>
        </w:rPr>
        <w:t xml:space="preserve">Topic sentence: </w:t>
      </w:r>
      <w:r>
        <w:rPr>
          <w:sz w:val="24"/>
          <w:szCs w:val="24"/>
        </w:rPr>
        <w:t xml:space="preserve">The Bihari case shows how the formal machinery of citizenship </w:t>
      </w:r>
      <w:r w:rsidR="000020C3">
        <w:rPr>
          <w:sz w:val="24"/>
          <w:szCs w:val="24"/>
        </w:rPr>
        <w:t xml:space="preserve">like </w:t>
      </w:r>
      <w:r>
        <w:rPr>
          <w:sz w:val="24"/>
          <w:szCs w:val="24"/>
        </w:rPr>
        <w:t xml:space="preserve">ascription, naturalization, and legal closure </w:t>
      </w:r>
      <w:r>
        <w:rPr>
          <w:sz w:val="24"/>
          <w:szCs w:val="24"/>
        </w:rPr>
        <w:t>can produce exactly the kind of exceptional space that Agamben calls the camp.</w:t>
      </w:r>
    </w:p>
    <w:p w14:paraId="3159494E" w14:textId="33E1A496" w:rsidR="008866ED" w:rsidRDefault="00017B1D">
      <w:pPr>
        <w:spacing w:after="120" w:line="360" w:lineRule="auto"/>
      </w:pPr>
      <w:r>
        <w:rPr>
          <w:b/>
          <w:bCs/>
          <w:sz w:val="24"/>
          <w:szCs w:val="24"/>
        </w:rPr>
        <w:t xml:space="preserve">What to discuss — Part A (Brubaker): </w:t>
      </w:r>
      <w:r>
        <w:rPr>
          <w:sz w:val="24"/>
          <w:szCs w:val="24"/>
        </w:rPr>
        <w:t>Ex</w:t>
      </w:r>
      <w:r>
        <w:rPr>
          <w:sz w:val="24"/>
          <w:szCs w:val="24"/>
        </w:rPr>
        <w:t xml:space="preserve">plain Brubaker's idea of citizenship as "social closure": citizenship is both internally inclusive and externally exclusive, and states use ascription (citizenship assigned at birth) and naturalization to control who belongs. </w:t>
      </w:r>
      <w:proofErr w:type="spellStart"/>
      <w:r>
        <w:rPr>
          <w:sz w:val="24"/>
          <w:szCs w:val="24"/>
        </w:rPr>
        <w:t>Biharis</w:t>
      </w:r>
      <w:proofErr w:type="spellEnd"/>
      <w:r>
        <w:rPr>
          <w:sz w:val="24"/>
          <w:szCs w:val="24"/>
        </w:rPr>
        <w:t xml:space="preserve"> w</w:t>
      </w:r>
      <w:r>
        <w:rPr>
          <w:sz w:val="24"/>
          <w:szCs w:val="24"/>
        </w:rPr>
        <w:t>ere ascribed Pakistani citizenship in 1947; Bangladesh's 1972 Citizenship Order then closed the door on anyone who had applied for Pakistani repatriation, producing a population with no ascribed citizenship anywhere. Distinguish active citizenship (real pa</w:t>
      </w:r>
      <w:r>
        <w:rPr>
          <w:sz w:val="24"/>
          <w:szCs w:val="24"/>
        </w:rPr>
        <w:t>rticipation) from merely passive/formal status (the 2008 ruling gave ID cards and voting rights but not equal access to jobs, passports, or bank accounts</w:t>
      </w:r>
      <w:r>
        <w:rPr>
          <w:sz w:val="24"/>
          <w:szCs w:val="24"/>
        </w:rPr>
        <w:t>).</w:t>
      </w:r>
    </w:p>
    <w:p w14:paraId="495E11B9" w14:textId="62EFBEB2" w:rsidR="008866ED" w:rsidRDefault="00017B1D">
      <w:pPr>
        <w:spacing w:after="120" w:line="360" w:lineRule="auto"/>
      </w:pPr>
      <w:r>
        <w:rPr>
          <w:b/>
          <w:bCs/>
          <w:sz w:val="24"/>
          <w:szCs w:val="24"/>
        </w:rPr>
        <w:t xml:space="preserve">What to discuss — Part B (Agamben): </w:t>
      </w:r>
      <w:r>
        <w:rPr>
          <w:sz w:val="24"/>
          <w:szCs w:val="24"/>
        </w:rPr>
        <w:t>Connect this legal closure directly to Ag</w:t>
      </w:r>
      <w:r>
        <w:rPr>
          <w:sz w:val="24"/>
          <w:szCs w:val="24"/>
        </w:rPr>
        <w:t xml:space="preserve">amben's definition of the camp as the space that </w:t>
      </w:r>
      <w:proofErr w:type="gramStart"/>
      <w:r>
        <w:rPr>
          <w:sz w:val="24"/>
          <w:szCs w:val="24"/>
        </w:rPr>
        <w:t>opens up</w:t>
      </w:r>
      <w:proofErr w:type="gramEnd"/>
      <w:r>
        <w:rPr>
          <w:sz w:val="24"/>
          <w:szCs w:val="24"/>
        </w:rPr>
        <w:t xml:space="preserve"> once the exception becomes the rule. Geneva Camp fits this precisely: residents were, in Siddiqi's words, "officially dead" </w:t>
      </w:r>
      <w:r>
        <w:rPr>
          <w:sz w:val="24"/>
          <w:szCs w:val="24"/>
        </w:rPr>
        <w:t>neither protected by ordinary Bangladeshi law (as non-citizens) nor by i</w:t>
      </w:r>
      <w:r>
        <w:rPr>
          <w:sz w:val="24"/>
          <w:szCs w:val="24"/>
        </w:rPr>
        <w:t>nternational refugee law (UNHCR refused refugee status because they never crossed a border). Use this to argue that Geneva Camp is a lived example of bare life: physical presence without full legal or political existence.</w:t>
      </w:r>
    </w:p>
    <w:p w14:paraId="38DABEA0" w14:textId="192F2C22" w:rsidR="008866ED" w:rsidRDefault="00017B1D">
      <w:pPr>
        <w:spacing w:after="120" w:line="360" w:lineRule="auto"/>
      </w:pPr>
      <w:r>
        <w:rPr>
          <w:b/>
          <w:bCs/>
          <w:sz w:val="24"/>
          <w:szCs w:val="24"/>
        </w:rPr>
        <w:t xml:space="preserve">Concluding sentence: </w:t>
      </w:r>
      <w:r>
        <w:rPr>
          <w:sz w:val="24"/>
          <w:szCs w:val="24"/>
        </w:rPr>
        <w:t xml:space="preserve">Formal legal </w:t>
      </w:r>
      <w:r>
        <w:rPr>
          <w:sz w:val="24"/>
          <w:szCs w:val="24"/>
        </w:rPr>
        <w:t xml:space="preserve">closure was lifted in 2008, but the camp as a space of exception did not disappear with it </w:t>
      </w:r>
      <w:r>
        <w:rPr>
          <w:sz w:val="24"/>
          <w:szCs w:val="24"/>
        </w:rPr>
        <w:t>which shows that citizenship law and lived inclusion are two different things, not one and the same.</w:t>
      </w:r>
    </w:p>
    <w:p w14:paraId="3ACFC07D" w14:textId="05CD66A7" w:rsidR="008866ED" w:rsidRDefault="005A6C86">
      <w:pPr>
        <w:spacing w:after="120" w:line="360" w:lineRule="auto"/>
      </w:pPr>
      <w:r>
        <w:rPr>
          <w:b/>
          <w:bCs/>
          <w:sz w:val="24"/>
          <w:szCs w:val="24"/>
        </w:rPr>
        <w:t>References will use</w:t>
      </w:r>
      <w:r w:rsidR="00017B1D">
        <w:rPr>
          <w:b/>
          <w:bCs/>
          <w:sz w:val="24"/>
          <w:szCs w:val="24"/>
        </w:rPr>
        <w:t xml:space="preserve">: </w:t>
      </w:r>
      <w:r w:rsidR="00017B1D">
        <w:rPr>
          <w:sz w:val="24"/>
          <w:szCs w:val="24"/>
        </w:rPr>
        <w:t>Brubaker (1992); Agamben (2000); Siddiqi (201</w:t>
      </w:r>
      <w:r w:rsidR="00017B1D">
        <w:rPr>
          <w:sz w:val="24"/>
          <w:szCs w:val="24"/>
        </w:rPr>
        <w:t>3).</w:t>
      </w:r>
    </w:p>
    <w:p w14:paraId="4F18565F" w14:textId="755161A9" w:rsidR="008866ED" w:rsidRDefault="00017B1D">
      <w:pPr>
        <w:spacing w:before="300" w:after="150"/>
      </w:pPr>
      <w:r>
        <w:rPr>
          <w:b/>
          <w:bCs/>
          <w:sz w:val="24"/>
          <w:szCs w:val="24"/>
          <w:u w:val="single"/>
        </w:rPr>
        <w:t>BODY PARAGRAPH 3 — Statelessness, the Right to Have Rights, and the Struggle for Recognition (Target: ~400 words)</w:t>
      </w:r>
    </w:p>
    <w:p w14:paraId="73B667FB" w14:textId="77777777" w:rsidR="008866ED" w:rsidRDefault="00017B1D">
      <w:pPr>
        <w:spacing w:after="120" w:line="360" w:lineRule="auto"/>
      </w:pPr>
      <w:r>
        <w:rPr>
          <w:b/>
          <w:bCs/>
          <w:sz w:val="24"/>
          <w:szCs w:val="24"/>
        </w:rPr>
        <w:lastRenderedPageBreak/>
        <w:t xml:space="preserve">Topic sentence: </w:t>
      </w:r>
      <w:r>
        <w:rPr>
          <w:sz w:val="24"/>
          <w:szCs w:val="24"/>
        </w:rPr>
        <w:t>Before 2008, the Bihari condition matched almost exactly what Hannah Arendt called the loss of the "right to have righ</w:t>
      </w:r>
      <w:r>
        <w:rPr>
          <w:sz w:val="24"/>
          <w:szCs w:val="24"/>
        </w:rPr>
        <w:t>ts," and their eventual recognition shows how constituent power can force constituted power to respond.</w:t>
      </w:r>
    </w:p>
    <w:p w14:paraId="37BFF07C" w14:textId="2FCB3C44" w:rsidR="008866ED" w:rsidRDefault="00017B1D">
      <w:pPr>
        <w:spacing w:after="120" w:line="360" w:lineRule="auto"/>
      </w:pPr>
      <w:r>
        <w:rPr>
          <w:b/>
          <w:bCs/>
          <w:sz w:val="24"/>
          <w:szCs w:val="24"/>
        </w:rPr>
        <w:t xml:space="preserve">What to discuss — Part A (Arendt): </w:t>
      </w:r>
      <w:r>
        <w:rPr>
          <w:sz w:val="24"/>
          <w:szCs w:val="24"/>
        </w:rPr>
        <w:t>Explain Arendt's argument that the worst deprivation is not the loss of any one right but the loss of a political com</w:t>
      </w:r>
      <w:r>
        <w:rPr>
          <w:sz w:val="24"/>
          <w:szCs w:val="24"/>
        </w:rPr>
        <w:t>munity willing to guarantee any rights at all. Apply this to the Bihari case using Sen's legal analysis</w:t>
      </w:r>
      <w:r w:rsidR="00402230">
        <w:rPr>
          <w:sz w:val="24"/>
          <w:szCs w:val="24"/>
        </w:rPr>
        <w:t>.</w:t>
      </w:r>
      <w:r>
        <w:rPr>
          <w:sz w:val="24"/>
          <w:szCs w:val="24"/>
        </w:rPr>
        <w:t xml:space="preserve"> </w:t>
      </w:r>
      <w:r w:rsidR="00402230">
        <w:rPr>
          <w:sz w:val="24"/>
          <w:szCs w:val="24"/>
        </w:rPr>
        <w:t>T</w:t>
      </w:r>
      <w:r>
        <w:rPr>
          <w:sz w:val="24"/>
          <w:szCs w:val="24"/>
        </w:rPr>
        <w:t xml:space="preserve">he 1973 New Delhi Agreement and 1974 Tripartite Agreement left thousands unrepatriated, and UNHCR's refusal to grant refugee status (because </w:t>
      </w:r>
      <w:proofErr w:type="spellStart"/>
      <w:r>
        <w:rPr>
          <w:sz w:val="24"/>
          <w:szCs w:val="24"/>
        </w:rPr>
        <w:t>Biharis</w:t>
      </w:r>
      <w:proofErr w:type="spellEnd"/>
      <w:r>
        <w:rPr>
          <w:sz w:val="24"/>
          <w:szCs w:val="24"/>
        </w:rPr>
        <w:t xml:space="preserve"> r</w:t>
      </w:r>
      <w:r>
        <w:rPr>
          <w:sz w:val="24"/>
          <w:szCs w:val="24"/>
        </w:rPr>
        <w:t xml:space="preserve">emained on the same soil rather than crossing a border) left them in a true legal vacuum </w:t>
      </w:r>
      <w:r>
        <w:rPr>
          <w:sz w:val="24"/>
          <w:szCs w:val="24"/>
        </w:rPr>
        <w:t>stateless without even being formally recognized as stateless refugees.</w:t>
      </w:r>
    </w:p>
    <w:p w14:paraId="597998E4" w14:textId="77777777" w:rsidR="008866ED" w:rsidRDefault="00017B1D">
      <w:pPr>
        <w:spacing w:after="120" w:line="360" w:lineRule="auto"/>
      </w:pPr>
      <w:r>
        <w:rPr>
          <w:b/>
          <w:bCs/>
          <w:sz w:val="24"/>
          <w:szCs w:val="24"/>
        </w:rPr>
        <w:t>What to discuss — Part B (</w:t>
      </w:r>
      <w:proofErr w:type="spellStart"/>
      <w:r>
        <w:rPr>
          <w:b/>
          <w:bCs/>
          <w:sz w:val="24"/>
          <w:szCs w:val="24"/>
        </w:rPr>
        <w:t>Balibar</w:t>
      </w:r>
      <w:proofErr w:type="spellEnd"/>
      <w:r>
        <w:rPr>
          <w:b/>
          <w:bCs/>
          <w:sz w:val="24"/>
          <w:szCs w:val="24"/>
        </w:rPr>
        <w:t xml:space="preserve">): </w:t>
      </w:r>
      <w:r>
        <w:rPr>
          <w:sz w:val="24"/>
          <w:szCs w:val="24"/>
        </w:rPr>
        <w:t xml:space="preserve">Bring in </w:t>
      </w:r>
      <w:proofErr w:type="spellStart"/>
      <w:r>
        <w:rPr>
          <w:sz w:val="24"/>
          <w:szCs w:val="24"/>
        </w:rPr>
        <w:t>Balibar's</w:t>
      </w:r>
      <w:proofErr w:type="spellEnd"/>
      <w:r>
        <w:rPr>
          <w:sz w:val="24"/>
          <w:szCs w:val="24"/>
        </w:rPr>
        <w:t xml:space="preserve"> distinction between constituted power </w:t>
      </w:r>
      <w:r>
        <w:rPr>
          <w:sz w:val="24"/>
          <w:szCs w:val="24"/>
        </w:rPr>
        <w:t>(existing state/legal authority) and constituent power (the active demand for rights from below). The Stranded Pakistanis General Repatriation Committee and the Stranded Pakistanis Youth Rehabilitation Movement organized for decades before the courts acted</w:t>
      </w:r>
      <w:r>
        <w:rPr>
          <w:sz w:val="24"/>
          <w:szCs w:val="24"/>
        </w:rPr>
        <w:t xml:space="preserve">; the 2003 and 2008 rulings were a response to sustained constituent power, not a voluntary gift from the state. This is also a direct example of what </w:t>
      </w:r>
      <w:proofErr w:type="spellStart"/>
      <w:r>
        <w:rPr>
          <w:sz w:val="24"/>
          <w:szCs w:val="24"/>
        </w:rPr>
        <w:t>Balibar</w:t>
      </w:r>
      <w:proofErr w:type="spellEnd"/>
      <w:r>
        <w:rPr>
          <w:sz w:val="24"/>
          <w:szCs w:val="24"/>
        </w:rPr>
        <w:t xml:space="preserve"> calls the "right to rights" as something claimed and fought for, not simply held.</w:t>
      </w:r>
    </w:p>
    <w:p w14:paraId="28EB467C" w14:textId="22D3BC78" w:rsidR="008866ED" w:rsidRDefault="00017B1D">
      <w:pPr>
        <w:spacing w:after="120" w:line="360" w:lineRule="auto"/>
      </w:pPr>
      <w:r>
        <w:rPr>
          <w:b/>
          <w:bCs/>
          <w:sz w:val="24"/>
          <w:szCs w:val="24"/>
        </w:rPr>
        <w:t>Concluding sent</w:t>
      </w:r>
      <w:r>
        <w:rPr>
          <w:b/>
          <w:bCs/>
          <w:sz w:val="24"/>
          <w:szCs w:val="24"/>
        </w:rPr>
        <w:t xml:space="preserve">ence: </w:t>
      </w:r>
      <w:r>
        <w:rPr>
          <w:sz w:val="24"/>
          <w:szCs w:val="24"/>
        </w:rPr>
        <w:t xml:space="preserve">The Bihari case extends Arendt's theory in an important way: statelessness does not require crossing a </w:t>
      </w:r>
      <w:proofErr w:type="gramStart"/>
      <w:r>
        <w:rPr>
          <w:sz w:val="24"/>
          <w:szCs w:val="24"/>
        </w:rPr>
        <w:t xml:space="preserve">border </w:t>
      </w:r>
      <w:r>
        <w:rPr>
          <w:sz w:val="24"/>
          <w:szCs w:val="24"/>
        </w:rPr>
        <w:t xml:space="preserve"> it</w:t>
      </w:r>
      <w:proofErr w:type="gramEnd"/>
      <w:r>
        <w:rPr>
          <w:sz w:val="24"/>
          <w:szCs w:val="24"/>
        </w:rPr>
        <w:t xml:space="preserve"> can happen to people who never moved, once the political community around them redraws the boundaries of who belongs, and it can only b</w:t>
      </w:r>
      <w:r>
        <w:rPr>
          <w:sz w:val="24"/>
          <w:szCs w:val="24"/>
        </w:rPr>
        <w:t>e undone through active political struggle, not passive waiting.</w:t>
      </w:r>
    </w:p>
    <w:p w14:paraId="64FBCCD9" w14:textId="1B1843B0" w:rsidR="008866ED" w:rsidRDefault="005A6C86">
      <w:pPr>
        <w:spacing w:after="120" w:line="360" w:lineRule="auto"/>
      </w:pPr>
      <w:r>
        <w:rPr>
          <w:b/>
          <w:bCs/>
          <w:sz w:val="24"/>
          <w:szCs w:val="24"/>
        </w:rPr>
        <w:t>References will use</w:t>
      </w:r>
      <w:r w:rsidR="00017B1D">
        <w:rPr>
          <w:b/>
          <w:bCs/>
          <w:sz w:val="24"/>
          <w:szCs w:val="24"/>
        </w:rPr>
        <w:t xml:space="preserve">: </w:t>
      </w:r>
      <w:r w:rsidR="00017B1D">
        <w:rPr>
          <w:sz w:val="24"/>
          <w:szCs w:val="24"/>
        </w:rPr>
        <w:t xml:space="preserve">Siddiqi (2013); Sen (1999, 2000); </w:t>
      </w:r>
      <w:proofErr w:type="spellStart"/>
      <w:r w:rsidR="00017B1D">
        <w:rPr>
          <w:sz w:val="24"/>
          <w:szCs w:val="24"/>
        </w:rPr>
        <w:t>Balibar</w:t>
      </w:r>
      <w:proofErr w:type="spellEnd"/>
      <w:r w:rsidR="00017B1D">
        <w:rPr>
          <w:sz w:val="24"/>
          <w:szCs w:val="24"/>
        </w:rPr>
        <w:t xml:space="preserve"> (2015, pp. 1-28).</w:t>
      </w:r>
    </w:p>
    <w:p w14:paraId="2AEE9DD0" w14:textId="23BC28BC" w:rsidR="008866ED" w:rsidRDefault="00017B1D">
      <w:pPr>
        <w:spacing w:before="300" w:after="150"/>
      </w:pPr>
      <w:r>
        <w:rPr>
          <w:b/>
          <w:bCs/>
          <w:sz w:val="24"/>
          <w:szCs w:val="24"/>
          <w:u w:val="single"/>
        </w:rPr>
        <w:t>BODY PARAGRAPH 4 — Competing Imagined Communities and the Making of the National "Other" (Target: ~400 words)</w:t>
      </w:r>
    </w:p>
    <w:p w14:paraId="1F290D81" w14:textId="5510EC08" w:rsidR="008866ED" w:rsidRDefault="00017B1D">
      <w:pPr>
        <w:spacing w:after="120" w:line="360" w:lineRule="auto"/>
      </w:pPr>
      <w:r>
        <w:rPr>
          <w:b/>
          <w:bCs/>
          <w:sz w:val="24"/>
          <w:szCs w:val="24"/>
        </w:rPr>
        <w:t xml:space="preserve">Topic sentence: </w:t>
      </w:r>
      <w:r>
        <w:rPr>
          <w:sz w:val="24"/>
          <w:szCs w:val="24"/>
        </w:rPr>
        <w:t xml:space="preserve">At its core, the </w:t>
      </w:r>
      <w:proofErr w:type="gramStart"/>
      <w:r>
        <w:rPr>
          <w:sz w:val="24"/>
          <w:szCs w:val="24"/>
        </w:rPr>
        <w:t xml:space="preserve">Bihari </w:t>
      </w:r>
      <w:r>
        <w:rPr>
          <w:sz w:val="24"/>
          <w:szCs w:val="24"/>
        </w:rPr>
        <w:t xml:space="preserve"> is</w:t>
      </w:r>
      <w:proofErr w:type="gramEnd"/>
      <w:r>
        <w:rPr>
          <w:sz w:val="24"/>
          <w:szCs w:val="24"/>
        </w:rPr>
        <w:t xml:space="preserve"> a conflict between two competing imagined communities, and it shows how inclusion and ex</w:t>
      </w:r>
      <w:r>
        <w:rPr>
          <w:sz w:val="24"/>
          <w:szCs w:val="24"/>
        </w:rPr>
        <w:t>clusion are actively produced by a nation's citizens, not simply decided by its laws.</w:t>
      </w:r>
    </w:p>
    <w:p w14:paraId="04F7D8A5" w14:textId="77777777" w:rsidR="008866ED" w:rsidRDefault="00017B1D">
      <w:pPr>
        <w:spacing w:after="120" w:line="360" w:lineRule="auto"/>
      </w:pPr>
      <w:r>
        <w:rPr>
          <w:b/>
          <w:bCs/>
          <w:sz w:val="24"/>
          <w:szCs w:val="24"/>
        </w:rPr>
        <w:t xml:space="preserve">What to discuss — Part A (Anderson): </w:t>
      </w:r>
      <w:r>
        <w:rPr>
          <w:sz w:val="24"/>
          <w:szCs w:val="24"/>
        </w:rPr>
        <w:t>Use Anderson's concept of the nation as an imagined community to explain that Bengali nationalism imagined itself as a linguistically</w:t>
      </w:r>
      <w:r>
        <w:rPr>
          <w:sz w:val="24"/>
          <w:szCs w:val="24"/>
        </w:rPr>
        <w:t xml:space="preserve"> and culturally unified people, which structurally required a non-Bengali outsider to define itself against. Bring </w:t>
      </w:r>
      <w:r>
        <w:rPr>
          <w:sz w:val="24"/>
          <w:szCs w:val="24"/>
        </w:rPr>
        <w:lastRenderedPageBreak/>
        <w:t xml:space="preserve">in Siddiqi's interview with </w:t>
      </w:r>
      <w:proofErr w:type="spellStart"/>
      <w:r>
        <w:rPr>
          <w:sz w:val="24"/>
          <w:szCs w:val="24"/>
        </w:rPr>
        <w:t>Javed</w:t>
      </w:r>
      <w:proofErr w:type="spellEnd"/>
      <w:r>
        <w:rPr>
          <w:sz w:val="24"/>
          <w:szCs w:val="24"/>
        </w:rPr>
        <w:t xml:space="preserve"> Hasan to show a living example of a competing imagined community: an Urdu-speaking, pan-Muslim identity ori</w:t>
      </w:r>
      <w:r>
        <w:rPr>
          <w:sz w:val="24"/>
          <w:szCs w:val="24"/>
        </w:rPr>
        <w:t xml:space="preserve">ented toward Pakistan and North India rather than toward Bangladesh, even among </w:t>
      </w:r>
      <w:proofErr w:type="spellStart"/>
      <w:r>
        <w:rPr>
          <w:sz w:val="24"/>
          <w:szCs w:val="24"/>
        </w:rPr>
        <w:t>Biharis</w:t>
      </w:r>
      <w:proofErr w:type="spellEnd"/>
      <w:r>
        <w:rPr>
          <w:sz w:val="24"/>
          <w:szCs w:val="24"/>
        </w:rPr>
        <w:t xml:space="preserve"> who never actually lived in Pakistan.</w:t>
      </w:r>
    </w:p>
    <w:p w14:paraId="333EF00F" w14:textId="23D537C2" w:rsidR="008866ED" w:rsidRDefault="00017B1D">
      <w:pPr>
        <w:spacing w:after="120" w:line="360" w:lineRule="auto"/>
      </w:pPr>
      <w:r>
        <w:rPr>
          <w:b/>
          <w:bCs/>
          <w:sz w:val="24"/>
          <w:szCs w:val="24"/>
        </w:rPr>
        <w:t>What to discuss — Part B (</w:t>
      </w:r>
      <w:proofErr w:type="spellStart"/>
      <w:r>
        <w:rPr>
          <w:b/>
          <w:bCs/>
          <w:sz w:val="24"/>
          <w:szCs w:val="24"/>
        </w:rPr>
        <w:t>Balibar</w:t>
      </w:r>
      <w:proofErr w:type="spellEnd"/>
      <w:r>
        <w:rPr>
          <w:b/>
          <w:bCs/>
          <w:sz w:val="24"/>
          <w:szCs w:val="24"/>
        </w:rPr>
        <w:t xml:space="preserve">): </w:t>
      </w:r>
      <w:r>
        <w:rPr>
          <w:sz w:val="24"/>
          <w:szCs w:val="24"/>
        </w:rPr>
        <w:t xml:space="preserve">Connect this to </w:t>
      </w:r>
      <w:proofErr w:type="spellStart"/>
      <w:r>
        <w:rPr>
          <w:sz w:val="24"/>
          <w:szCs w:val="24"/>
        </w:rPr>
        <w:t>Balibar's</w:t>
      </w:r>
      <w:proofErr w:type="spellEnd"/>
      <w:r>
        <w:rPr>
          <w:sz w:val="24"/>
          <w:szCs w:val="24"/>
        </w:rPr>
        <w:t xml:space="preserve"> theses on citizenship and exclusion</w:t>
      </w:r>
      <w:r w:rsidR="00402230">
        <w:rPr>
          <w:sz w:val="24"/>
          <w:szCs w:val="24"/>
        </w:rPr>
        <w:t>.</w:t>
      </w:r>
      <w:r>
        <w:rPr>
          <w:sz w:val="24"/>
          <w:szCs w:val="24"/>
        </w:rPr>
        <w:t xml:space="preserve"> </w:t>
      </w:r>
      <w:r w:rsidR="00402230">
        <w:rPr>
          <w:sz w:val="24"/>
          <w:szCs w:val="24"/>
        </w:rPr>
        <w:t>E</w:t>
      </w:r>
      <w:r>
        <w:rPr>
          <w:sz w:val="24"/>
          <w:szCs w:val="24"/>
        </w:rPr>
        <w:t>xclusion is not simply imposed</w:t>
      </w:r>
      <w:r>
        <w:rPr>
          <w:sz w:val="24"/>
          <w:szCs w:val="24"/>
        </w:rPr>
        <w:t xml:space="preserve"> by law from above, it is actively produced by the ordinary citizens of a community, who need an excluded "other" to imagine their own belonging as "common." Use the </w:t>
      </w:r>
      <w:proofErr w:type="spellStart"/>
      <w:r>
        <w:rPr>
          <w:sz w:val="24"/>
          <w:szCs w:val="24"/>
        </w:rPr>
        <w:t>razakar</w:t>
      </w:r>
      <w:proofErr w:type="spellEnd"/>
      <w:r>
        <w:rPr>
          <w:sz w:val="24"/>
          <w:szCs w:val="24"/>
        </w:rPr>
        <w:t xml:space="preserve">/collaborator label and the al-Falah NGO's push for </w:t>
      </w:r>
      <w:proofErr w:type="spellStart"/>
      <w:r>
        <w:rPr>
          <w:sz w:val="24"/>
          <w:szCs w:val="24"/>
        </w:rPr>
        <w:t>Biharis</w:t>
      </w:r>
      <w:proofErr w:type="spellEnd"/>
      <w:r>
        <w:rPr>
          <w:sz w:val="24"/>
          <w:szCs w:val="24"/>
        </w:rPr>
        <w:t xml:space="preserve"> to </w:t>
      </w:r>
      <w:proofErr w:type="gramStart"/>
      <w:r>
        <w:rPr>
          <w:sz w:val="24"/>
          <w:szCs w:val="24"/>
        </w:rPr>
        <w:t xml:space="preserve">culturally </w:t>
      </w:r>
      <w:r>
        <w:rPr>
          <w:sz w:val="24"/>
          <w:szCs w:val="24"/>
        </w:rPr>
        <w:t xml:space="preserve"> (</w:t>
      </w:r>
      <w:proofErr w:type="gramEnd"/>
      <w:r>
        <w:rPr>
          <w:sz w:val="24"/>
          <w:szCs w:val="24"/>
        </w:rPr>
        <w:t>writing essays in Bengali, adopting Bengali customs) as evidence that full national belonging was conditioned on erasing ethnic identity, not just holding legal citizenship.</w:t>
      </w:r>
    </w:p>
    <w:p w14:paraId="108C392F" w14:textId="65BCECC5" w:rsidR="008866ED" w:rsidRDefault="00017B1D">
      <w:pPr>
        <w:spacing w:after="120" w:line="360" w:lineRule="auto"/>
      </w:pPr>
      <w:r>
        <w:rPr>
          <w:b/>
          <w:bCs/>
          <w:sz w:val="24"/>
          <w:szCs w:val="24"/>
        </w:rPr>
        <w:t xml:space="preserve">Concluding sentence: </w:t>
      </w:r>
      <w:r>
        <w:rPr>
          <w:sz w:val="24"/>
          <w:szCs w:val="24"/>
        </w:rPr>
        <w:t>This shows that the conflict was never only legal: it is a</w:t>
      </w:r>
      <w:r>
        <w:rPr>
          <w:sz w:val="24"/>
          <w:szCs w:val="24"/>
        </w:rPr>
        <w:t xml:space="preserve"> conflict between two imagined communities, and Bangladesh's citizenship rulings</w:t>
      </w:r>
      <w:r w:rsidR="00402230">
        <w:rPr>
          <w:sz w:val="24"/>
          <w:szCs w:val="24"/>
        </w:rPr>
        <w:t>.</w:t>
      </w:r>
    </w:p>
    <w:p w14:paraId="6E7A695B" w14:textId="2C6D5FCF" w:rsidR="008866ED" w:rsidRDefault="005A6C86">
      <w:pPr>
        <w:spacing w:after="120" w:line="360" w:lineRule="auto"/>
      </w:pPr>
      <w:r>
        <w:rPr>
          <w:b/>
          <w:bCs/>
          <w:sz w:val="24"/>
          <w:szCs w:val="24"/>
        </w:rPr>
        <w:t>References will use</w:t>
      </w:r>
      <w:r w:rsidR="00017B1D">
        <w:rPr>
          <w:b/>
          <w:bCs/>
          <w:sz w:val="24"/>
          <w:szCs w:val="24"/>
        </w:rPr>
        <w:t xml:space="preserve">: </w:t>
      </w:r>
      <w:r w:rsidR="00017B1D">
        <w:rPr>
          <w:sz w:val="24"/>
          <w:szCs w:val="24"/>
        </w:rPr>
        <w:t xml:space="preserve">Anderson (1983); </w:t>
      </w:r>
      <w:proofErr w:type="spellStart"/>
      <w:r w:rsidR="00017B1D">
        <w:rPr>
          <w:sz w:val="24"/>
          <w:szCs w:val="24"/>
        </w:rPr>
        <w:t>Balibar</w:t>
      </w:r>
      <w:proofErr w:type="spellEnd"/>
      <w:r w:rsidR="00017B1D">
        <w:rPr>
          <w:sz w:val="24"/>
          <w:szCs w:val="24"/>
        </w:rPr>
        <w:t xml:space="preserve"> (2015, pp</w:t>
      </w:r>
      <w:r w:rsidR="00017B1D">
        <w:rPr>
          <w:sz w:val="24"/>
          <w:szCs w:val="24"/>
        </w:rPr>
        <w:t>. 62-82); Siddiqi (2013).</w:t>
      </w:r>
    </w:p>
    <w:p w14:paraId="6928CB7B" w14:textId="051BAC3C" w:rsidR="008866ED" w:rsidRDefault="00017B1D">
      <w:pPr>
        <w:spacing w:before="300" w:after="150"/>
      </w:pPr>
      <w:r>
        <w:rPr>
          <w:b/>
          <w:bCs/>
          <w:sz w:val="24"/>
          <w:szCs w:val="24"/>
          <w:u w:val="single"/>
        </w:rPr>
        <w:t>CONCLUSION (Target: ~180 words)</w:t>
      </w:r>
    </w:p>
    <w:p w14:paraId="5D131E99" w14:textId="304EF5F0" w:rsidR="008866ED" w:rsidRDefault="00017B1D">
      <w:pPr>
        <w:spacing w:after="120" w:line="360" w:lineRule="auto"/>
      </w:pPr>
      <w:r>
        <w:rPr>
          <w:b/>
          <w:bCs/>
          <w:sz w:val="24"/>
          <w:szCs w:val="24"/>
        </w:rPr>
        <w:t xml:space="preserve">What to discuss: </w:t>
      </w:r>
      <w:r w:rsidR="00402230">
        <w:rPr>
          <w:sz w:val="24"/>
          <w:szCs w:val="24"/>
        </w:rPr>
        <w:t>L</w:t>
      </w:r>
      <w:r>
        <w:rPr>
          <w:sz w:val="24"/>
          <w:szCs w:val="24"/>
        </w:rPr>
        <w:t>egal citizenship and national belonging are not the same thing, and the Bihari case proves this by showing a community that has held Bangladesh</w:t>
      </w:r>
      <w:r>
        <w:rPr>
          <w:sz w:val="24"/>
          <w:szCs w:val="24"/>
        </w:rPr>
        <w:t xml:space="preserve">i citizenship since 2008 while still living in the same camps, under the same suspicion, with the same restricted access to ordinary rights. Briefly </w:t>
      </w:r>
      <w:r w:rsidR="00DC5273">
        <w:rPr>
          <w:sz w:val="24"/>
          <w:szCs w:val="24"/>
        </w:rPr>
        <w:t>will discuss</w:t>
      </w:r>
      <w:r>
        <w:rPr>
          <w:sz w:val="24"/>
          <w:szCs w:val="24"/>
        </w:rPr>
        <w:t xml:space="preserve"> how each body paragraph contributed to this argument (the historical case set up the problem; th</w:t>
      </w:r>
      <w:r>
        <w:rPr>
          <w:sz w:val="24"/>
          <w:szCs w:val="24"/>
        </w:rPr>
        <w:t>e citizenship/camp analysis showed how legal exclusion became spatial exclusion; the statelessness/constituent power analysis showed how recognition had to be fought for rather than granted; the imagined communities analysis showed why legal recognition st</w:t>
      </w:r>
      <w:r>
        <w:rPr>
          <w:sz w:val="24"/>
          <w:szCs w:val="24"/>
        </w:rPr>
        <w:t>ill was not enough). End with a reflective closing line on what the Bihari case teaches more broadly about the limits of legal citizenship as a solution to the deeper problem of national belonging.</w:t>
      </w:r>
    </w:p>
    <w:p w14:paraId="3E2AEE2A" w14:textId="77777777" w:rsidR="00DC5273" w:rsidRDefault="00DC5273">
      <w:pPr>
        <w:spacing w:before="300" w:after="150"/>
        <w:rPr>
          <w:b/>
          <w:bCs/>
          <w:sz w:val="24"/>
          <w:szCs w:val="24"/>
        </w:rPr>
      </w:pPr>
    </w:p>
    <w:p w14:paraId="5B866469" w14:textId="77777777" w:rsidR="00DC5273" w:rsidRDefault="00DC5273">
      <w:pPr>
        <w:spacing w:before="300" w:after="150"/>
        <w:rPr>
          <w:b/>
          <w:bCs/>
          <w:sz w:val="24"/>
          <w:szCs w:val="24"/>
        </w:rPr>
      </w:pPr>
    </w:p>
    <w:p w14:paraId="623683C9" w14:textId="77777777" w:rsidR="00DC5273" w:rsidRDefault="00DC5273">
      <w:pPr>
        <w:spacing w:before="300" w:after="150"/>
        <w:rPr>
          <w:b/>
          <w:bCs/>
          <w:sz w:val="24"/>
          <w:szCs w:val="24"/>
        </w:rPr>
      </w:pPr>
    </w:p>
    <w:p w14:paraId="78817E84" w14:textId="77777777" w:rsidR="00DC5273" w:rsidRDefault="00DC5273">
      <w:pPr>
        <w:spacing w:before="300" w:after="150"/>
        <w:rPr>
          <w:b/>
          <w:bCs/>
          <w:sz w:val="24"/>
          <w:szCs w:val="24"/>
        </w:rPr>
      </w:pPr>
    </w:p>
    <w:p w14:paraId="5E04C968" w14:textId="0A104C4E" w:rsidR="008866ED" w:rsidRDefault="00017B1D" w:rsidP="00DC5273">
      <w:pPr>
        <w:spacing w:before="300" w:after="150"/>
        <w:jc w:val="center"/>
      </w:pPr>
      <w:r>
        <w:rPr>
          <w:b/>
          <w:bCs/>
          <w:sz w:val="24"/>
          <w:szCs w:val="24"/>
          <w:u w:val="single"/>
        </w:rPr>
        <w:lastRenderedPageBreak/>
        <w:t>REFERENCE</w:t>
      </w:r>
    </w:p>
    <w:p w14:paraId="029E6F14" w14:textId="77777777" w:rsidR="00DC5273" w:rsidRDefault="00DC5273">
      <w:pPr>
        <w:spacing w:after="200" w:line="360" w:lineRule="auto"/>
        <w:ind w:left="720" w:hanging="720"/>
        <w:rPr>
          <w:sz w:val="24"/>
          <w:szCs w:val="24"/>
        </w:rPr>
      </w:pPr>
    </w:p>
    <w:p w14:paraId="4E853262" w14:textId="77777777" w:rsidR="00DC5273" w:rsidRDefault="00DC5273" w:rsidP="00DC5273">
      <w:pPr>
        <w:spacing w:after="200" w:line="480" w:lineRule="auto"/>
        <w:ind w:left="720" w:hanging="720"/>
      </w:pPr>
      <w:r>
        <w:rPr>
          <w:sz w:val="24"/>
          <w:szCs w:val="24"/>
        </w:rPr>
        <w:t xml:space="preserve">Agamben, G. (2000). Means without end: Notes on politics (V. </w:t>
      </w:r>
      <w:proofErr w:type="spellStart"/>
      <w:r>
        <w:rPr>
          <w:sz w:val="24"/>
          <w:szCs w:val="24"/>
        </w:rPr>
        <w:t>Binetti</w:t>
      </w:r>
      <w:proofErr w:type="spellEnd"/>
      <w:r>
        <w:rPr>
          <w:sz w:val="24"/>
          <w:szCs w:val="24"/>
        </w:rPr>
        <w:t xml:space="preserve"> &amp; C. </w:t>
      </w:r>
      <w:proofErr w:type="spellStart"/>
      <w:r>
        <w:rPr>
          <w:sz w:val="24"/>
          <w:szCs w:val="24"/>
        </w:rPr>
        <w:t>Casarino</w:t>
      </w:r>
      <w:proofErr w:type="spellEnd"/>
      <w:r>
        <w:rPr>
          <w:sz w:val="24"/>
          <w:szCs w:val="24"/>
        </w:rPr>
        <w:t>, Trans.). University of Minnesota Press.</w:t>
      </w:r>
    </w:p>
    <w:p w14:paraId="66EAB696" w14:textId="77777777" w:rsidR="00DC5273" w:rsidRDefault="00DC5273" w:rsidP="00DC5273">
      <w:pPr>
        <w:spacing w:after="200" w:line="480" w:lineRule="auto"/>
        <w:ind w:left="720" w:hanging="720"/>
      </w:pPr>
      <w:r>
        <w:rPr>
          <w:sz w:val="24"/>
          <w:szCs w:val="24"/>
        </w:rPr>
        <w:t>Anderson, B. (1983). Imagined communities: Reflections on the origin and spread of nationalism. Verso.</w:t>
      </w:r>
    </w:p>
    <w:p w14:paraId="556B824A" w14:textId="77777777" w:rsidR="00DC5273" w:rsidRDefault="00DC5273" w:rsidP="00DC5273">
      <w:pPr>
        <w:spacing w:after="200" w:line="480" w:lineRule="auto"/>
        <w:ind w:left="720" w:hanging="720"/>
      </w:pPr>
      <w:r>
        <w:rPr>
          <w:sz w:val="24"/>
          <w:szCs w:val="24"/>
        </w:rPr>
        <w:t>Arendt, H. (1968). The decline of the nation-state and the end of the rights of man. In The origins of totalitarianism (pp. 267-302). Harcourt.</w:t>
      </w:r>
    </w:p>
    <w:p w14:paraId="18723D02" w14:textId="77777777" w:rsidR="00DC5273" w:rsidRDefault="00DC5273" w:rsidP="00DC5273">
      <w:pPr>
        <w:spacing w:after="200" w:line="480" w:lineRule="auto"/>
        <w:ind w:left="720" w:hanging="720"/>
      </w:pPr>
      <w:proofErr w:type="spellStart"/>
      <w:r>
        <w:rPr>
          <w:sz w:val="24"/>
          <w:szCs w:val="24"/>
        </w:rPr>
        <w:t>Balibar</w:t>
      </w:r>
      <w:proofErr w:type="spellEnd"/>
      <w:r>
        <w:rPr>
          <w:sz w:val="24"/>
          <w:szCs w:val="24"/>
        </w:rPr>
        <w:t>, É. (2015). Citizenship. Polity Press.</w:t>
      </w:r>
    </w:p>
    <w:p w14:paraId="719B2D52" w14:textId="77777777" w:rsidR="00DC5273" w:rsidRDefault="00DC5273" w:rsidP="00DC5273">
      <w:pPr>
        <w:spacing w:after="200" w:line="480" w:lineRule="auto"/>
        <w:ind w:left="720" w:hanging="720"/>
      </w:pPr>
      <w:r>
        <w:rPr>
          <w:sz w:val="24"/>
          <w:szCs w:val="24"/>
        </w:rPr>
        <w:t>Brubaker, R. (1992). Citizenship as social closure. In Citizenship and nationhood in France and Germany (pp. 21-34). Harvard University Press.</w:t>
      </w:r>
    </w:p>
    <w:p w14:paraId="69269A73" w14:textId="77777777" w:rsidR="00DC5273" w:rsidRDefault="00DC5273" w:rsidP="00DC5273">
      <w:pPr>
        <w:spacing w:after="200" w:line="480" w:lineRule="auto"/>
        <w:ind w:left="720" w:hanging="720"/>
      </w:pPr>
      <w:r>
        <w:rPr>
          <w:sz w:val="24"/>
          <w:szCs w:val="24"/>
        </w:rPr>
        <w:t>Roy, H. (2020). Testing citizenship in the Bengal borderlands. Current History, 119(816).</w:t>
      </w:r>
    </w:p>
    <w:p w14:paraId="09000AC4" w14:textId="77777777" w:rsidR="00DC5273" w:rsidRDefault="00DC5273" w:rsidP="00DC5273">
      <w:pPr>
        <w:spacing w:after="200" w:line="480" w:lineRule="auto"/>
        <w:ind w:left="720" w:hanging="720"/>
      </w:pPr>
      <w:r>
        <w:rPr>
          <w:sz w:val="24"/>
          <w:szCs w:val="24"/>
        </w:rPr>
        <w:t>Sen, S. (1999). Stateless refugees and the right to return: The Bihari refugees of South Asia, Part 1. International Journal of Refugee Law, 11(4), 625-645. https://doi.org/10.1093/ijrl/11.4.625</w:t>
      </w:r>
    </w:p>
    <w:p w14:paraId="61A9C4A3" w14:textId="77777777" w:rsidR="00DC5273" w:rsidRDefault="00DC5273" w:rsidP="00DC5273">
      <w:pPr>
        <w:spacing w:after="200" w:line="480" w:lineRule="auto"/>
        <w:ind w:left="720" w:hanging="720"/>
      </w:pPr>
      <w:r>
        <w:rPr>
          <w:sz w:val="24"/>
          <w:szCs w:val="24"/>
        </w:rPr>
        <w:t>Sen, S. (2000). Stateless refugees and the right to return: The Bihari refugees of South Asia, Part 2. International Journal of Refugee Law, 12(1), 41-70. https://doi.org/10.1093/ijrl/12.1.41</w:t>
      </w:r>
    </w:p>
    <w:p w14:paraId="48E98D56" w14:textId="77777777" w:rsidR="00DC5273" w:rsidRDefault="00DC5273" w:rsidP="00DC5273">
      <w:pPr>
        <w:spacing w:after="200" w:line="480" w:lineRule="auto"/>
        <w:ind w:left="720" w:hanging="720"/>
      </w:pPr>
      <w:r>
        <w:rPr>
          <w:sz w:val="24"/>
          <w:szCs w:val="24"/>
        </w:rPr>
        <w:t>Siddiqi, D. M. (2013). Left behind by the nation: 'Stranded Pakistanis' in Bangladesh. Sites: New Series, 10(1), 150-183. https://doi.org/10.11157/sites-vol10iss2id253</w:t>
      </w:r>
    </w:p>
    <w:p w14:paraId="58C2EF23" w14:textId="2E4BF64C" w:rsidR="008866ED" w:rsidRDefault="008866ED">
      <w:pPr>
        <w:spacing w:before="300" w:after="200" w:line="360" w:lineRule="auto"/>
      </w:pPr>
    </w:p>
    <w:sectPr w:rsidR="008866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A055E"/>
    <w:multiLevelType w:val="hybridMultilevel"/>
    <w:tmpl w:val="36F0F78A"/>
    <w:lvl w:ilvl="0" w:tplc="1E18F5C2">
      <w:start w:val="1"/>
      <w:numFmt w:val="bullet"/>
      <w:lvlText w:val="●"/>
      <w:lvlJc w:val="left"/>
      <w:pPr>
        <w:ind w:left="720" w:hanging="360"/>
      </w:pPr>
    </w:lvl>
    <w:lvl w:ilvl="1" w:tplc="CB40D6F8">
      <w:start w:val="1"/>
      <w:numFmt w:val="bullet"/>
      <w:lvlText w:val="○"/>
      <w:lvlJc w:val="left"/>
      <w:pPr>
        <w:ind w:left="1440" w:hanging="360"/>
      </w:pPr>
    </w:lvl>
    <w:lvl w:ilvl="2" w:tplc="7D3E35D6">
      <w:start w:val="1"/>
      <w:numFmt w:val="bullet"/>
      <w:lvlText w:val="■"/>
      <w:lvlJc w:val="left"/>
      <w:pPr>
        <w:ind w:left="2160" w:hanging="360"/>
      </w:pPr>
    </w:lvl>
    <w:lvl w:ilvl="3" w:tplc="B42EF5FE">
      <w:start w:val="1"/>
      <w:numFmt w:val="bullet"/>
      <w:lvlText w:val="●"/>
      <w:lvlJc w:val="left"/>
      <w:pPr>
        <w:ind w:left="2880" w:hanging="360"/>
      </w:pPr>
    </w:lvl>
    <w:lvl w:ilvl="4" w:tplc="B770B5E2">
      <w:start w:val="1"/>
      <w:numFmt w:val="bullet"/>
      <w:lvlText w:val="○"/>
      <w:lvlJc w:val="left"/>
      <w:pPr>
        <w:ind w:left="3600" w:hanging="360"/>
      </w:pPr>
    </w:lvl>
    <w:lvl w:ilvl="5" w:tplc="1EC86946">
      <w:start w:val="1"/>
      <w:numFmt w:val="bullet"/>
      <w:lvlText w:val="■"/>
      <w:lvlJc w:val="left"/>
      <w:pPr>
        <w:ind w:left="4320" w:hanging="360"/>
      </w:pPr>
    </w:lvl>
    <w:lvl w:ilvl="6" w:tplc="F830E5D2">
      <w:start w:val="1"/>
      <w:numFmt w:val="bullet"/>
      <w:lvlText w:val="●"/>
      <w:lvlJc w:val="left"/>
      <w:pPr>
        <w:ind w:left="5040" w:hanging="360"/>
      </w:pPr>
    </w:lvl>
    <w:lvl w:ilvl="7" w:tplc="4EEE5334">
      <w:start w:val="1"/>
      <w:numFmt w:val="bullet"/>
      <w:lvlText w:val="●"/>
      <w:lvlJc w:val="left"/>
      <w:pPr>
        <w:ind w:left="5760" w:hanging="360"/>
      </w:pPr>
    </w:lvl>
    <w:lvl w:ilvl="8" w:tplc="494407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6ED"/>
    <w:rsid w:val="000020C3"/>
    <w:rsid w:val="00017B1D"/>
    <w:rsid w:val="00402230"/>
    <w:rsid w:val="005A6C86"/>
    <w:rsid w:val="008866ED"/>
    <w:rsid w:val="00DC5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829B"/>
  <w15:docId w15:val="{0B04D389-D8B9-47A5-9500-A6B8DF37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Tahsin</cp:lastModifiedBy>
  <cp:revision>3</cp:revision>
  <dcterms:created xsi:type="dcterms:W3CDTF">2026-07-17T19:46:00Z</dcterms:created>
  <dcterms:modified xsi:type="dcterms:W3CDTF">2026-07-18T07:34:00Z</dcterms:modified>
</cp:coreProperties>
</file>