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9C6B3" w14:textId="77777777" w:rsidR="002B5528" w:rsidRDefault="002B5528">
      <w:pPr>
        <w:spacing w:before="2400"/>
      </w:pPr>
    </w:p>
    <w:p w14:paraId="376897B8" w14:textId="77777777" w:rsidR="002B5528" w:rsidRDefault="00BB2415">
      <w:pPr>
        <w:spacing w:after="200" w:line="480" w:lineRule="auto"/>
        <w:jc w:val="center"/>
      </w:pPr>
      <w:r>
        <w:rPr>
          <w:b/>
          <w:bCs/>
          <w:sz w:val="24"/>
          <w:szCs w:val="24"/>
        </w:rPr>
        <w:t>Left Behind by Two Nations: Contested Citizenship, Statelessness, and the Bihari Community of Bangladesh</w:t>
      </w:r>
    </w:p>
    <w:p w14:paraId="42914DC1" w14:textId="77777777" w:rsidR="002B5528" w:rsidRDefault="00BB2415">
      <w:pPr>
        <w:spacing w:before="800" w:after="100" w:line="480" w:lineRule="auto"/>
        <w:jc w:val="center"/>
      </w:pPr>
      <w:r>
        <w:rPr>
          <w:sz w:val="24"/>
          <w:szCs w:val="24"/>
        </w:rPr>
        <w:t>[Your Full Name]</w:t>
      </w:r>
    </w:p>
    <w:p w14:paraId="5B60ABC5" w14:textId="77777777" w:rsidR="002B5528" w:rsidRDefault="00BB2415">
      <w:pPr>
        <w:spacing w:after="100" w:line="480" w:lineRule="auto"/>
        <w:jc w:val="center"/>
      </w:pPr>
      <w:r>
        <w:rPr>
          <w:sz w:val="24"/>
          <w:szCs w:val="24"/>
        </w:rPr>
        <w:t>Student ID: 22201344</w:t>
      </w:r>
    </w:p>
    <w:p w14:paraId="26AA896C" w14:textId="77777777" w:rsidR="002B5528" w:rsidRDefault="00BB2415">
      <w:pPr>
        <w:spacing w:after="100" w:line="480" w:lineRule="auto"/>
        <w:jc w:val="center"/>
      </w:pPr>
      <w:r>
        <w:rPr>
          <w:sz w:val="24"/>
          <w:szCs w:val="24"/>
        </w:rPr>
        <w:t>CST 309: Global Citizenship, Section 1</w:t>
      </w:r>
    </w:p>
    <w:p w14:paraId="7766BA70" w14:textId="77777777" w:rsidR="002B5528" w:rsidRDefault="00BB2415">
      <w:pPr>
        <w:spacing w:after="100" w:line="480" w:lineRule="auto"/>
        <w:jc w:val="center"/>
      </w:pPr>
      <w:r>
        <w:rPr>
          <w:sz w:val="24"/>
          <w:szCs w:val="24"/>
        </w:rPr>
        <w:t xml:space="preserve">Instructor: </w:t>
      </w:r>
      <w:proofErr w:type="spellStart"/>
      <w:r>
        <w:rPr>
          <w:sz w:val="24"/>
          <w:szCs w:val="24"/>
        </w:rPr>
        <w:t>Sharmistha</w:t>
      </w:r>
      <w:proofErr w:type="spellEnd"/>
      <w:r>
        <w:rPr>
          <w:sz w:val="24"/>
          <w:szCs w:val="24"/>
        </w:rPr>
        <w:t xml:space="preserve"> Ghosh</w:t>
      </w:r>
    </w:p>
    <w:p w14:paraId="3B0B6275" w14:textId="77777777" w:rsidR="002B5528" w:rsidRDefault="00BB2415">
      <w:pPr>
        <w:spacing w:after="100" w:line="480" w:lineRule="auto"/>
        <w:jc w:val="center"/>
      </w:pPr>
      <w:r>
        <w:rPr>
          <w:sz w:val="24"/>
          <w:szCs w:val="24"/>
        </w:rPr>
        <w:t>Midterm Essay — Summer 2026</w:t>
      </w:r>
    </w:p>
    <w:p w14:paraId="3ECD0170" w14:textId="77777777" w:rsidR="002B5528" w:rsidRDefault="00BB2415">
      <w:r>
        <w:br w:type="page"/>
      </w:r>
    </w:p>
    <w:p w14:paraId="59BD04D8" w14:textId="77777777" w:rsidR="002B5528" w:rsidRDefault="00BB2415">
      <w:pPr>
        <w:spacing w:after="300" w:line="480" w:lineRule="auto"/>
        <w:jc w:val="center"/>
      </w:pPr>
      <w:r>
        <w:rPr>
          <w:b/>
          <w:bCs/>
          <w:sz w:val="24"/>
          <w:szCs w:val="24"/>
        </w:rPr>
        <w:lastRenderedPageBreak/>
        <w:t>Left Behind by Two Nations: Contested Citizenship, Statelessness, and the Bihari Community of Bangladesh</w:t>
      </w:r>
    </w:p>
    <w:p w14:paraId="2539FB76" w14:textId="29456D6E" w:rsidR="00C34526" w:rsidRPr="00C34526" w:rsidRDefault="00C34526" w:rsidP="00C34526">
      <w:pPr>
        <w:spacing w:before="240" w:line="480" w:lineRule="auto"/>
        <w:ind w:firstLine="720"/>
        <w:rPr>
          <w:sz w:val="24"/>
          <w:szCs w:val="24"/>
        </w:rPr>
      </w:pPr>
      <w:r w:rsidRPr="00C34526">
        <w:rPr>
          <w:sz w:val="24"/>
          <w:szCs w:val="24"/>
        </w:rPr>
        <w:t xml:space="preserve">Citizenship is often treated as though it were a fixed and static status, something a person is assigned at birth or through law and that then remains stable for life. The Bihari community of Bangladesh shows that citizenship does not always work this way. Their history is a clear example of what can be called contested citizenship: a status that is repeatedly challenged, redefined, and fought over depending on shifting political power, war, and ideas of national identity, rather than settled once and for all by a single legal decision. A resident of Geneva Camp in Dhaka once told a researcher, "We never left Pakistan, Pakistan has gone and left us" (as cited in Siddiqi, 2013, p. 150), which captures this instability exactly: a person's legal status changing even though the person never moved. Habermas (1996) helps explain why this kind of contest is possible in the first place. He argues that citizenship and national identity are only historically linked, not conceptually linked, since "citizenship was never conceptually tied to national identity" (p. 495). In other words, legal membership in a state and cultural or ethnic belonging to a nation are two separate things that can, and often do, pull apart from one another. This is exactly what happened to the </w:t>
      </w:r>
      <w:proofErr w:type="spellStart"/>
      <w:r w:rsidRPr="00C34526">
        <w:rPr>
          <w:sz w:val="24"/>
          <w:szCs w:val="24"/>
        </w:rPr>
        <w:t>Biharis</w:t>
      </w:r>
      <w:proofErr w:type="spellEnd"/>
      <w:r w:rsidRPr="00C34526">
        <w:rPr>
          <w:sz w:val="24"/>
          <w:szCs w:val="24"/>
        </w:rPr>
        <w:t xml:space="preserve">. They were Urdu-speaking Muslims who migrated to East Bengal around 1947 as full citizens of the newly created Pakistan, but when Bangladesh became independent in 1971, their citizenship was effectively erased, leaving them stateless for decades before Bangladeshi courts finally granted them citizenship again in 2003 and 2008. This essay argues that the Bihari case shows that legal citizenship alone cannot resolve exclusion when a nation's identity is built on ethnic and linguistic belonging rather than on legal status alone; even though Bangladeshi courts eventually granted </w:t>
      </w:r>
      <w:proofErr w:type="spellStart"/>
      <w:r w:rsidRPr="00C34526">
        <w:rPr>
          <w:sz w:val="24"/>
          <w:szCs w:val="24"/>
        </w:rPr>
        <w:t>Biharis</w:t>
      </w:r>
      <w:proofErr w:type="spellEnd"/>
      <w:r w:rsidRPr="00C34526">
        <w:rPr>
          <w:sz w:val="24"/>
          <w:szCs w:val="24"/>
        </w:rPr>
        <w:t xml:space="preserve"> citizenship, the community remains caught in a state of exception, because being included in the legal nation was never </w:t>
      </w:r>
      <w:r w:rsidRPr="00C34526">
        <w:rPr>
          <w:sz w:val="24"/>
          <w:szCs w:val="24"/>
        </w:rPr>
        <w:lastRenderedPageBreak/>
        <w:t>matched by being included in the imagined nation. The sections that follow trace the Bihari story, examine the legal mechanics of their exclusion, look at their long struggle for basic rights, and finally explore the deeper conflict between national and ethnic identity that citizenship law alone could not resol</w:t>
      </w:r>
      <w:r w:rsidRPr="00C34526">
        <w:rPr>
          <w:sz w:val="24"/>
          <w:szCs w:val="24"/>
        </w:rPr>
        <w:t>ve.</w:t>
      </w:r>
    </w:p>
    <w:p w14:paraId="6CF02BD7" w14:textId="4AAE5ACB" w:rsidR="00C34526" w:rsidRDefault="00BB2415">
      <w:pPr>
        <w:spacing w:before="240" w:line="480" w:lineRule="auto"/>
        <w:rPr>
          <w:b/>
          <w:bCs/>
          <w:sz w:val="24"/>
          <w:szCs w:val="24"/>
        </w:rPr>
      </w:pPr>
      <w:r>
        <w:rPr>
          <w:b/>
          <w:bCs/>
          <w:sz w:val="24"/>
          <w:szCs w:val="24"/>
        </w:rPr>
        <w:t>A History of Shifting Belonging</w:t>
      </w:r>
    </w:p>
    <w:p w14:paraId="1DDE01C7" w14:textId="638752D5" w:rsidR="00C34526" w:rsidRPr="00C34526" w:rsidRDefault="00C34526">
      <w:pPr>
        <w:spacing w:before="240" w:line="480" w:lineRule="auto"/>
        <w:rPr>
          <w:sz w:val="24"/>
          <w:szCs w:val="24"/>
        </w:rPr>
      </w:pPr>
      <w:r w:rsidRPr="00C34526">
        <w:rPr>
          <w:sz w:val="24"/>
          <w:szCs w:val="24"/>
        </w:rPr>
        <w:t xml:space="preserve">After communal riots in Bihar in 1946, thousands of Urdu-speaking Muslims moved to East Bengal, and after the 1947 partition of British India, many more followed as citizens of the newly formed Pakistan (Siddiqi, 2013, p. 158). Tension with the Bengali-speaking majority grew over the next two decades, especially after the language movement of the 1950s, and when the Liberation War broke out in 1971, some Urdu-speakers sided with the Pakistani army. The term "Bihari" quickly became linked with the word </w:t>
      </w:r>
      <w:proofErr w:type="spellStart"/>
      <w:r w:rsidRPr="00C34526">
        <w:rPr>
          <w:sz w:val="24"/>
          <w:szCs w:val="24"/>
        </w:rPr>
        <w:t>razakar</w:t>
      </w:r>
      <w:proofErr w:type="spellEnd"/>
      <w:r w:rsidRPr="00C34526">
        <w:rPr>
          <w:sz w:val="24"/>
          <w:szCs w:val="24"/>
        </w:rPr>
        <w:t>, meaning wartime collaborator (Siddiqi, 2013, p. 163). After independence, Bangladesh's 1972 Citizenship Order left non-Bengalis who had applied for repatriation to Pakistan without any citizenship at all (Siddiqi, 2013, p. 165), and close to 900,000 Urdu-speakers were left stateless, many confined to camps such as Geneva Camp in Dhaka (Siddiqi, 2013, p. 164). It was only after long legal battles that Bangladesh's High Court ruled, first in 2003 and then again in 2008, that Urdu-speakers were Bangladeshi citizens with the right to vote (Siddiqi, 2013, p. 166). This back-and-forth history is exactly what makes Bihari citizenship contested rather than static</w:t>
      </w:r>
      <w:r>
        <w:rPr>
          <w:sz w:val="24"/>
          <w:szCs w:val="24"/>
        </w:rPr>
        <w:t>.</w:t>
      </w:r>
    </w:p>
    <w:p w14:paraId="1B7AA23A" w14:textId="77777777" w:rsidR="00C34526" w:rsidRDefault="00C34526">
      <w:pPr>
        <w:spacing w:before="240" w:line="480" w:lineRule="auto"/>
      </w:pPr>
    </w:p>
    <w:p w14:paraId="216BF81D" w14:textId="54CEC579" w:rsidR="002B5528" w:rsidRDefault="00BB2415">
      <w:pPr>
        <w:spacing w:before="240" w:line="480" w:lineRule="auto"/>
      </w:pPr>
      <w:r>
        <w:rPr>
          <w:b/>
          <w:bCs/>
          <w:sz w:val="24"/>
          <w:szCs w:val="24"/>
        </w:rPr>
        <w:t>Citizenship on Paper and the Camp as a Space of Exception</w:t>
      </w:r>
    </w:p>
    <w:p w14:paraId="461A3758" w14:textId="77777777" w:rsidR="002B5528" w:rsidRDefault="00BB2415">
      <w:pPr>
        <w:spacing w:line="480" w:lineRule="auto"/>
        <w:ind w:firstLine="720"/>
        <w:jc w:val="both"/>
      </w:pPr>
      <w:r>
        <w:rPr>
          <w:sz w:val="24"/>
          <w:szCs w:val="24"/>
        </w:rPr>
        <w:t>The Bihari case is a clear example of what Brubaker (1992) call</w:t>
      </w:r>
      <w:r>
        <w:rPr>
          <w:sz w:val="24"/>
          <w:szCs w:val="24"/>
        </w:rPr>
        <w:t xml:space="preserve">s citizenship as "social closure," meaning that citizenship works by including some people while shutting others out, often </w:t>
      </w:r>
      <w:r>
        <w:rPr>
          <w:sz w:val="24"/>
          <w:szCs w:val="24"/>
        </w:rPr>
        <w:lastRenderedPageBreak/>
        <w:t>through birth and naturalization rules that look neutral on paper but are not neutral in effect (pp. 21-22). When Pakistan was creat</w:t>
      </w:r>
      <w:r>
        <w:rPr>
          <w:sz w:val="24"/>
          <w:szCs w:val="24"/>
        </w:rPr>
        <w:t xml:space="preserve">ed in 1947, </w:t>
      </w:r>
      <w:proofErr w:type="spellStart"/>
      <w:r>
        <w:rPr>
          <w:sz w:val="24"/>
          <w:szCs w:val="24"/>
        </w:rPr>
        <w:t>Biharis</w:t>
      </w:r>
      <w:proofErr w:type="spellEnd"/>
      <w:r>
        <w:rPr>
          <w:sz w:val="24"/>
          <w:szCs w:val="24"/>
        </w:rPr>
        <w:t xml:space="preserve"> received citizenship through ascription, since they were treated as full members of the new state simply by settling in its territory as Muslim migrants. Once Bangladesh became independent, however, this same ascriptive logic worked aga</w:t>
      </w:r>
      <w:r>
        <w:rPr>
          <w:sz w:val="24"/>
          <w:szCs w:val="24"/>
        </w:rPr>
        <w:t>inst them. The 1972 Citizenship Order closed off citizenship to anyone who had filed papers requesting repatriation to Pakistan, which meant an entire community lost its only claim to belonging almost overnight (Siddiqi, 2013, p. 165). Even the citizenship</w:t>
      </w:r>
      <w:r>
        <w:rPr>
          <w:sz w:val="24"/>
          <w:szCs w:val="24"/>
        </w:rPr>
        <w:t xml:space="preserve"> they eventually won back was not equal in practice. </w:t>
      </w:r>
      <w:proofErr w:type="spellStart"/>
      <w:r>
        <w:rPr>
          <w:sz w:val="24"/>
          <w:szCs w:val="24"/>
        </w:rPr>
        <w:t>Sadakat</w:t>
      </w:r>
      <w:proofErr w:type="spellEnd"/>
      <w:r>
        <w:rPr>
          <w:sz w:val="24"/>
          <w:szCs w:val="24"/>
        </w:rPr>
        <w:t xml:space="preserve"> Khan, a leader of the Stranded Pakistanis Youth Rehabilitation Movement, called the 2008 court ruling "a historic achievement" (as cited in Siddiqi, 2013, p. 166), yet many </w:t>
      </w:r>
      <w:proofErr w:type="spellStart"/>
      <w:r>
        <w:rPr>
          <w:sz w:val="24"/>
          <w:szCs w:val="24"/>
        </w:rPr>
        <w:t>Biharis</w:t>
      </w:r>
      <w:proofErr w:type="spellEnd"/>
      <w:r>
        <w:rPr>
          <w:sz w:val="24"/>
          <w:szCs w:val="24"/>
        </w:rPr>
        <w:t xml:space="preserve"> continued to s</w:t>
      </w:r>
      <w:r>
        <w:rPr>
          <w:sz w:val="24"/>
          <w:szCs w:val="24"/>
        </w:rPr>
        <w:t xml:space="preserve">truggle with access to passports, formal jobs, and bank accounts. Haider (2018) makes a similar point from a legal perspective, arguing that </w:t>
      </w:r>
      <w:proofErr w:type="spellStart"/>
      <w:r>
        <w:rPr>
          <w:sz w:val="24"/>
          <w:szCs w:val="24"/>
        </w:rPr>
        <w:t>Biharis</w:t>
      </w:r>
      <w:proofErr w:type="spellEnd"/>
      <w:r>
        <w:rPr>
          <w:sz w:val="24"/>
          <w:szCs w:val="24"/>
        </w:rPr>
        <w:t xml:space="preserve"> had arguably never actually lost their Bangladeshi citizenship under President's Order 149 of 1972, yet the</w:t>
      </w:r>
      <w:r>
        <w:rPr>
          <w:sz w:val="24"/>
          <w:szCs w:val="24"/>
        </w:rPr>
        <w:t xml:space="preserve">y were still treated by ordinary public offices as outsiders in practice (pp. 27S, 33S). This gap between formal, or passive, </w:t>
      </w:r>
      <w:proofErr w:type="gramStart"/>
      <w:r>
        <w:rPr>
          <w:sz w:val="24"/>
          <w:szCs w:val="24"/>
        </w:rPr>
        <w:t>citizenship</w:t>
      </w:r>
      <w:proofErr w:type="gramEnd"/>
      <w:r>
        <w:rPr>
          <w:sz w:val="24"/>
          <w:szCs w:val="24"/>
        </w:rPr>
        <w:t xml:space="preserve"> and active citizenship, where a person can actually use their rights day to day, shows that simply being added to a vo</w:t>
      </w:r>
      <w:r>
        <w:rPr>
          <w:sz w:val="24"/>
          <w:szCs w:val="24"/>
        </w:rPr>
        <w:t>ter list does not erase years of exclusion.</w:t>
      </w:r>
    </w:p>
    <w:p w14:paraId="76C9F765" w14:textId="77777777" w:rsidR="002B5528" w:rsidRDefault="00BB2415">
      <w:pPr>
        <w:spacing w:line="480" w:lineRule="auto"/>
        <w:ind w:firstLine="720"/>
        <w:jc w:val="both"/>
      </w:pPr>
      <w:r>
        <w:rPr>
          <w:sz w:val="24"/>
          <w:szCs w:val="24"/>
        </w:rPr>
        <w:t>This legal closure is closely tied to what Agamben (2000) describes as the camp: a space that appears once a state of exception becomes permanent instead of temporary. Geneva Camp fits this description almost exa</w:t>
      </w:r>
      <w:r>
        <w:rPr>
          <w:sz w:val="24"/>
          <w:szCs w:val="24"/>
        </w:rPr>
        <w:t>ctly. For decades, its residents were, in Siddiqi's words, "officially dead" (2013, p. 150), because they were neither treated as citizens of Bangladesh nor recognized as refugees under international law. The United Nations refugee agency would not classif</w:t>
      </w:r>
      <w:r>
        <w:rPr>
          <w:sz w:val="24"/>
          <w:szCs w:val="24"/>
        </w:rPr>
        <w:t xml:space="preserve">y </w:t>
      </w:r>
      <w:proofErr w:type="spellStart"/>
      <w:r>
        <w:rPr>
          <w:sz w:val="24"/>
          <w:szCs w:val="24"/>
        </w:rPr>
        <w:t>Biharis</w:t>
      </w:r>
      <w:proofErr w:type="spellEnd"/>
      <w:r>
        <w:rPr>
          <w:sz w:val="24"/>
          <w:szCs w:val="24"/>
        </w:rPr>
        <w:t xml:space="preserve"> as refugees since they had technically never crossed an international border; they were still standing on the same land they had always lived on, yet their country had, in effect, disowned them </w:t>
      </w:r>
      <w:r>
        <w:rPr>
          <w:sz w:val="24"/>
          <w:szCs w:val="24"/>
        </w:rPr>
        <w:lastRenderedPageBreak/>
        <w:t>(Sen, 1999). This left camp residents in a kind of l</w:t>
      </w:r>
      <w:r>
        <w:rPr>
          <w:sz w:val="24"/>
          <w:szCs w:val="24"/>
        </w:rPr>
        <w:t xml:space="preserve">egal blank space, close to what Agamben calls bare life, where a person is physically present but has no real political existence or protection. Even after the 2008 ruling gave </w:t>
      </w:r>
      <w:proofErr w:type="spellStart"/>
      <w:r>
        <w:rPr>
          <w:sz w:val="24"/>
          <w:szCs w:val="24"/>
        </w:rPr>
        <w:t>Biharis</w:t>
      </w:r>
      <w:proofErr w:type="spellEnd"/>
      <w:r>
        <w:rPr>
          <w:sz w:val="24"/>
          <w:szCs w:val="24"/>
        </w:rPr>
        <w:t xml:space="preserve"> legal citizenship, many still live in the same crowded camps, still wit</w:t>
      </w:r>
      <w:r>
        <w:rPr>
          <w:sz w:val="24"/>
          <w:szCs w:val="24"/>
        </w:rPr>
        <w:t>hout secure land or full economic opportunity. This shows that the space of exception Agamben describes does not automatically disappear just because a court changes the law. Citizenship on paper and citizenship in daily life turned out to be two very diff</w:t>
      </w:r>
      <w:r>
        <w:rPr>
          <w:sz w:val="24"/>
          <w:szCs w:val="24"/>
        </w:rPr>
        <w:t>erent things for this community.</w:t>
      </w:r>
    </w:p>
    <w:p w14:paraId="3D24C205" w14:textId="77777777" w:rsidR="002B5528" w:rsidRDefault="00BB2415">
      <w:pPr>
        <w:spacing w:before="240" w:line="480" w:lineRule="auto"/>
      </w:pPr>
      <w:r>
        <w:rPr>
          <w:b/>
          <w:bCs/>
          <w:sz w:val="24"/>
          <w:szCs w:val="24"/>
        </w:rPr>
        <w:t>Statelessness and the Struggle for the Right to Have Rights</w:t>
      </w:r>
    </w:p>
    <w:p w14:paraId="46341C0C" w14:textId="77777777" w:rsidR="002B5528" w:rsidRDefault="00BB2415">
      <w:pPr>
        <w:spacing w:line="480" w:lineRule="auto"/>
        <w:ind w:firstLine="720"/>
        <w:jc w:val="both"/>
      </w:pPr>
      <w:r>
        <w:rPr>
          <w:sz w:val="24"/>
          <w:szCs w:val="24"/>
        </w:rPr>
        <w:t xml:space="preserve">Before the 2003 and 2008 rulings, the situation of the </w:t>
      </w:r>
      <w:proofErr w:type="spellStart"/>
      <w:r>
        <w:rPr>
          <w:sz w:val="24"/>
          <w:szCs w:val="24"/>
        </w:rPr>
        <w:t>Biharis</w:t>
      </w:r>
      <w:proofErr w:type="spellEnd"/>
      <w:r>
        <w:rPr>
          <w:sz w:val="24"/>
          <w:szCs w:val="24"/>
        </w:rPr>
        <w:t xml:space="preserve"> matched almost exactly what Arendt (1968) describes as the loss of "the right to have rights" (p. 29</w:t>
      </w:r>
      <w:r>
        <w:rPr>
          <w:sz w:val="24"/>
          <w:szCs w:val="24"/>
        </w:rPr>
        <w:t xml:space="preserve">6), a much deeper loss than losing any single freedom. According to Arendt, the real tragedy of statelessness is not being denied one particular </w:t>
      </w:r>
      <w:proofErr w:type="gramStart"/>
      <w:r>
        <w:rPr>
          <w:sz w:val="24"/>
          <w:szCs w:val="24"/>
        </w:rPr>
        <w:t>right, but</w:t>
      </w:r>
      <w:proofErr w:type="gramEnd"/>
      <w:r>
        <w:rPr>
          <w:sz w:val="24"/>
          <w:szCs w:val="24"/>
        </w:rPr>
        <w:t xml:space="preserve"> losing any political community that is willing to guarantee rights at all. Sen's (1999, 2000) legal </w:t>
      </w:r>
      <w:r>
        <w:rPr>
          <w:sz w:val="24"/>
          <w:szCs w:val="24"/>
        </w:rPr>
        <w:t xml:space="preserve">analysis of the Bihari case shows how this played out. Two agreements, the 1973 New Delhi Agreement and the 1974 Tripartite Agreement between India, Pakistan, and Bangladesh, were meant to resolve the repatriation issue, but Pakistan accepted only a small </w:t>
      </w:r>
      <w:r>
        <w:rPr>
          <w:sz w:val="24"/>
          <w:szCs w:val="24"/>
        </w:rPr>
        <w:t>fraction of those who applied, leaving hundreds of thousands behind (Siddiqi, 2013, p. 166). Because these people were denied refugee status and denied full citizenship at the same time, they fell into a legal vacuum that neither international law nor dome</w:t>
      </w:r>
      <w:r>
        <w:rPr>
          <w:sz w:val="24"/>
          <w:szCs w:val="24"/>
        </w:rPr>
        <w:t xml:space="preserve">stic law was designed to fix. Arendt's theory helps explain why this situation was so damaging: it was not only poverty or crowded housing that harmed the </w:t>
      </w:r>
      <w:proofErr w:type="spellStart"/>
      <w:r>
        <w:rPr>
          <w:sz w:val="24"/>
          <w:szCs w:val="24"/>
        </w:rPr>
        <w:t>Biharis</w:t>
      </w:r>
      <w:proofErr w:type="spellEnd"/>
      <w:r>
        <w:rPr>
          <w:sz w:val="24"/>
          <w:szCs w:val="24"/>
        </w:rPr>
        <w:t xml:space="preserve">, </w:t>
      </w:r>
      <w:proofErr w:type="gramStart"/>
      <w:r>
        <w:rPr>
          <w:sz w:val="24"/>
          <w:szCs w:val="24"/>
        </w:rPr>
        <w:t>it was</w:t>
      </w:r>
      <w:proofErr w:type="gramEnd"/>
      <w:r>
        <w:rPr>
          <w:sz w:val="24"/>
          <w:szCs w:val="24"/>
        </w:rPr>
        <w:t xml:space="preserve"> the complete absence of any state or authority responsible for protecting them.</w:t>
      </w:r>
    </w:p>
    <w:p w14:paraId="5824D738" w14:textId="77777777" w:rsidR="002B5528" w:rsidRDefault="00BB2415">
      <w:pPr>
        <w:spacing w:line="480" w:lineRule="auto"/>
        <w:ind w:firstLine="720"/>
        <w:jc w:val="both"/>
      </w:pPr>
      <w:r>
        <w:rPr>
          <w:sz w:val="24"/>
          <w:szCs w:val="24"/>
        </w:rPr>
        <w:t xml:space="preserve">What </w:t>
      </w:r>
      <w:r>
        <w:rPr>
          <w:sz w:val="24"/>
          <w:szCs w:val="24"/>
        </w:rPr>
        <w:t xml:space="preserve">eventually changed this situation was not a change of heart from the Bangladeshi government but years of organized pressure from within the Bihari community itself. This is where </w:t>
      </w:r>
      <w:proofErr w:type="spellStart"/>
      <w:r>
        <w:rPr>
          <w:sz w:val="24"/>
          <w:szCs w:val="24"/>
        </w:rPr>
        <w:lastRenderedPageBreak/>
        <w:t>Balibar's</w:t>
      </w:r>
      <w:proofErr w:type="spellEnd"/>
      <w:r>
        <w:rPr>
          <w:sz w:val="24"/>
          <w:szCs w:val="24"/>
        </w:rPr>
        <w:t xml:space="preserve"> (2015) distinction between constituted power, meaning the existing </w:t>
      </w:r>
      <w:r>
        <w:rPr>
          <w:sz w:val="24"/>
          <w:szCs w:val="24"/>
        </w:rPr>
        <w:t>legal and state authority, and constituent power, meaning the active demand for rights from ordinary people, becomes useful (pp. 1-28). Groups such as the Stranded Pakistanis General Repatriation Committee and later the Stranded Pakistanis Youth Rehabilita</w:t>
      </w:r>
      <w:r>
        <w:rPr>
          <w:sz w:val="24"/>
          <w:szCs w:val="24"/>
        </w:rPr>
        <w:t xml:space="preserve">tion Movement spent decades filing petitions, holding protests, and pursuing legal action before the courts finally responded in 2003 and 2008 (Siddiqi, 2013, p. 166). In other words, constituted power, the </w:t>
      </w:r>
      <w:proofErr w:type="gramStart"/>
      <w:r>
        <w:rPr>
          <w:sz w:val="24"/>
          <w:szCs w:val="24"/>
        </w:rPr>
        <w:t>courts</w:t>
      </w:r>
      <w:proofErr w:type="gramEnd"/>
      <w:r>
        <w:rPr>
          <w:sz w:val="24"/>
          <w:szCs w:val="24"/>
        </w:rPr>
        <w:t xml:space="preserve"> and the state, only moved because constitu</w:t>
      </w:r>
      <w:r>
        <w:rPr>
          <w:sz w:val="24"/>
          <w:szCs w:val="24"/>
        </w:rPr>
        <w:t xml:space="preserve">ent power kept pushing from below. This matches </w:t>
      </w:r>
      <w:proofErr w:type="spellStart"/>
      <w:r>
        <w:rPr>
          <w:sz w:val="24"/>
          <w:szCs w:val="24"/>
        </w:rPr>
        <w:t>Balibar's</w:t>
      </w:r>
      <w:proofErr w:type="spellEnd"/>
      <w:r>
        <w:rPr>
          <w:sz w:val="24"/>
          <w:szCs w:val="24"/>
        </w:rPr>
        <w:t xml:space="preserve"> broader argument that the right to have rights is never something a state simply hands over out of generosity; it </w:t>
      </w:r>
      <w:proofErr w:type="gramStart"/>
      <w:r>
        <w:rPr>
          <w:sz w:val="24"/>
          <w:szCs w:val="24"/>
        </w:rPr>
        <w:t>has to</w:t>
      </w:r>
      <w:proofErr w:type="gramEnd"/>
      <w:r>
        <w:rPr>
          <w:sz w:val="24"/>
          <w:szCs w:val="24"/>
        </w:rPr>
        <w:t xml:space="preserve"> be claimed and fought for. The Bihari case also stretches Arendt's original i</w:t>
      </w:r>
      <w:r>
        <w:rPr>
          <w:sz w:val="24"/>
          <w:szCs w:val="24"/>
        </w:rPr>
        <w:t xml:space="preserve">dea in an important way. She was mainly thinking about people who had been physically displaced across borders, but the </w:t>
      </w:r>
      <w:proofErr w:type="spellStart"/>
      <w:r>
        <w:rPr>
          <w:sz w:val="24"/>
          <w:szCs w:val="24"/>
        </w:rPr>
        <w:t>Biharis</w:t>
      </w:r>
      <w:proofErr w:type="spellEnd"/>
      <w:r>
        <w:rPr>
          <w:sz w:val="24"/>
          <w:szCs w:val="24"/>
        </w:rPr>
        <w:t xml:space="preserve"> show that a person can become stateless without moving at all, simply because the political community around them redraws the li</w:t>
      </w:r>
      <w:r>
        <w:rPr>
          <w:sz w:val="24"/>
          <w:szCs w:val="24"/>
        </w:rPr>
        <w:t>ne of who counts as one of "us."</w:t>
      </w:r>
    </w:p>
    <w:p w14:paraId="18615789" w14:textId="77777777" w:rsidR="002B5528" w:rsidRDefault="00BB2415">
      <w:pPr>
        <w:spacing w:before="240" w:line="480" w:lineRule="auto"/>
      </w:pPr>
      <w:r>
        <w:rPr>
          <w:b/>
          <w:bCs/>
          <w:sz w:val="24"/>
          <w:szCs w:val="24"/>
        </w:rPr>
        <w:t>Competing Imagined Communities and the Making of the National "Other"</w:t>
      </w:r>
    </w:p>
    <w:p w14:paraId="6967F497" w14:textId="77777777" w:rsidR="002B5528" w:rsidRDefault="00BB2415">
      <w:pPr>
        <w:spacing w:line="480" w:lineRule="auto"/>
        <w:ind w:firstLine="720"/>
        <w:jc w:val="both"/>
      </w:pPr>
      <w:r>
        <w:rPr>
          <w:sz w:val="24"/>
          <w:szCs w:val="24"/>
        </w:rPr>
        <w:t>At a deeper level, the Bihari story is not only a legal problem but a clash between two different imagined communities. Anderson (1983) describes the nat</w:t>
      </w:r>
      <w:r>
        <w:rPr>
          <w:sz w:val="24"/>
          <w:szCs w:val="24"/>
        </w:rPr>
        <w:t xml:space="preserve">ion as an imagined community because most members will never meet each other in person, yet they still feel connected through a shared sense of language, culture, and history (pp. 6-7). Bengali nationalism in East Pakistan grew out of exactly this kind of </w:t>
      </w:r>
      <w:r>
        <w:rPr>
          <w:sz w:val="24"/>
          <w:szCs w:val="24"/>
        </w:rPr>
        <w:t>imagined connection, built around a shared Bengali language and a shared sense of resistance to non-Bengali rule. However, an imagined community that defines itself this tightly around language and ethnicity almost always needs an outsider to define itself</w:t>
      </w:r>
      <w:r>
        <w:rPr>
          <w:sz w:val="24"/>
          <w:szCs w:val="24"/>
        </w:rPr>
        <w:t xml:space="preserve"> against, and Urdu-speaking </w:t>
      </w:r>
      <w:proofErr w:type="spellStart"/>
      <w:r>
        <w:rPr>
          <w:sz w:val="24"/>
          <w:szCs w:val="24"/>
        </w:rPr>
        <w:t>Biharis</w:t>
      </w:r>
      <w:proofErr w:type="spellEnd"/>
      <w:r>
        <w:rPr>
          <w:sz w:val="24"/>
          <w:szCs w:val="24"/>
        </w:rPr>
        <w:t xml:space="preserve"> became that outsider. This is clear in Siddiqi's (2013) interview with a Bihari man she calls </w:t>
      </w:r>
      <w:proofErr w:type="spellStart"/>
      <w:r>
        <w:rPr>
          <w:sz w:val="24"/>
          <w:szCs w:val="24"/>
        </w:rPr>
        <w:t>Javed</w:t>
      </w:r>
      <w:proofErr w:type="spellEnd"/>
      <w:r>
        <w:rPr>
          <w:sz w:val="24"/>
          <w:szCs w:val="24"/>
        </w:rPr>
        <w:t xml:space="preserve"> Hasan, who describes feeling connected not to Bangladesh but </w:t>
      </w:r>
      <w:r>
        <w:rPr>
          <w:sz w:val="24"/>
          <w:szCs w:val="24"/>
        </w:rPr>
        <w:lastRenderedPageBreak/>
        <w:t>to a wider, imagined Muslim community stretching across Ind</w:t>
      </w:r>
      <w:r>
        <w:rPr>
          <w:sz w:val="24"/>
          <w:szCs w:val="24"/>
        </w:rPr>
        <w:t xml:space="preserve">ia and Pakistan, built around shared history, language, and religion rather than the country he </w:t>
      </w:r>
      <w:proofErr w:type="gramStart"/>
      <w:r>
        <w:rPr>
          <w:sz w:val="24"/>
          <w:szCs w:val="24"/>
        </w:rPr>
        <w:t>actually lives</w:t>
      </w:r>
      <w:proofErr w:type="gramEnd"/>
      <w:r>
        <w:rPr>
          <w:sz w:val="24"/>
          <w:szCs w:val="24"/>
        </w:rPr>
        <w:t xml:space="preserve"> in (p. 170). Hasan's account shows that even after gaining Bangladeshi citizenship on paper, a person can still feel like they belong to an entir</w:t>
      </w:r>
      <w:r>
        <w:rPr>
          <w:sz w:val="24"/>
          <w:szCs w:val="24"/>
        </w:rPr>
        <w:t>ely different imagined nation.</w:t>
      </w:r>
    </w:p>
    <w:p w14:paraId="541F2C2E" w14:textId="77777777" w:rsidR="002B5528" w:rsidRDefault="00BB2415">
      <w:pPr>
        <w:spacing w:line="480" w:lineRule="auto"/>
        <w:ind w:firstLine="720"/>
        <w:jc w:val="both"/>
      </w:pPr>
      <w:r>
        <w:rPr>
          <w:sz w:val="24"/>
          <w:szCs w:val="24"/>
        </w:rPr>
        <w:t xml:space="preserve">This is also where </w:t>
      </w:r>
      <w:proofErr w:type="spellStart"/>
      <w:r>
        <w:rPr>
          <w:sz w:val="24"/>
          <w:szCs w:val="24"/>
        </w:rPr>
        <w:t>Balibar's</w:t>
      </w:r>
      <w:proofErr w:type="spellEnd"/>
      <w:r>
        <w:rPr>
          <w:sz w:val="24"/>
          <w:szCs w:val="24"/>
        </w:rPr>
        <w:t xml:space="preserve"> (2015) later argument about citizenship and exclusion becomes important. </w:t>
      </w:r>
      <w:proofErr w:type="spellStart"/>
      <w:r>
        <w:rPr>
          <w:sz w:val="24"/>
          <w:szCs w:val="24"/>
        </w:rPr>
        <w:t>Balibar</w:t>
      </w:r>
      <w:proofErr w:type="spellEnd"/>
      <w:r>
        <w:rPr>
          <w:sz w:val="24"/>
          <w:szCs w:val="24"/>
        </w:rPr>
        <w:t xml:space="preserve"> argues that exclusion is not only imposed by government policy from above; ordinary citizens actively help produce </w:t>
      </w:r>
      <w:r>
        <w:rPr>
          <w:sz w:val="24"/>
          <w:szCs w:val="24"/>
        </w:rPr>
        <w:t xml:space="preserve">it, because a community often needs to define </w:t>
      </w:r>
      <w:proofErr w:type="gramStart"/>
      <w:r>
        <w:rPr>
          <w:sz w:val="24"/>
          <w:szCs w:val="24"/>
        </w:rPr>
        <w:t>an "other"</w:t>
      </w:r>
      <w:proofErr w:type="gramEnd"/>
      <w:r>
        <w:rPr>
          <w:sz w:val="24"/>
          <w:szCs w:val="24"/>
        </w:rPr>
        <w:t xml:space="preserve"> in order to feel like a unified "us" (pp. 62-82). The label </w:t>
      </w:r>
      <w:proofErr w:type="spellStart"/>
      <w:r>
        <w:rPr>
          <w:sz w:val="24"/>
          <w:szCs w:val="24"/>
        </w:rPr>
        <w:t>razakar</w:t>
      </w:r>
      <w:proofErr w:type="spellEnd"/>
      <w:r>
        <w:rPr>
          <w:sz w:val="24"/>
          <w:szCs w:val="24"/>
        </w:rPr>
        <w:t>, once used narrowly to describe wartime collaborators, was gradually attached to the entire Bihari community regardless of individu</w:t>
      </w:r>
      <w:r>
        <w:rPr>
          <w:sz w:val="24"/>
          <w:szCs w:val="24"/>
        </w:rPr>
        <w:t xml:space="preserve">al involvement in the war, turning an ethnic group into a symbol of national betrayal (Siddiqi, 2013, p. 163). Everyday practices reinforced this exclusion as well. The organization al-Falah, for example, was founded specifically to help younger </w:t>
      </w:r>
      <w:proofErr w:type="spellStart"/>
      <w:r>
        <w:rPr>
          <w:sz w:val="24"/>
          <w:szCs w:val="24"/>
        </w:rPr>
        <w:t>Biharis</w:t>
      </w:r>
      <w:proofErr w:type="spellEnd"/>
      <w:r>
        <w:rPr>
          <w:sz w:val="24"/>
          <w:szCs w:val="24"/>
        </w:rPr>
        <w:t xml:space="preserve"> "b</w:t>
      </w:r>
      <w:r>
        <w:rPr>
          <w:sz w:val="24"/>
          <w:szCs w:val="24"/>
        </w:rPr>
        <w:t>ecome better Bengalis," encouraging them to write essays in Bengali and adopt Bengali customs as a condition for being accepted (Siddiqi, 2013, p. 166). This shows that full belonging in Bangladesh was never only about holding the right documents; it was a</w:t>
      </w:r>
      <w:r>
        <w:rPr>
          <w:sz w:val="24"/>
          <w:szCs w:val="24"/>
        </w:rPr>
        <w:t>lso about giving up an older identity. Roy (2020) shows that this pattern is not unique to Bangladesh. Across South Asia more broadly, citizenship is increasingly being tested through religious and ethnic markers rather than through constitutional or legal</w:t>
      </w:r>
      <w:r>
        <w:rPr>
          <w:sz w:val="24"/>
          <w:szCs w:val="24"/>
        </w:rPr>
        <w:t xml:space="preserve"> criteria alone (p. 128), which suggests that the Bihari case is one example of a wider regional problem rather than an isolated exception. Even after the courts settled the legal question of citizenship, the deeper question of national belonging, who real</w:t>
      </w:r>
      <w:r>
        <w:rPr>
          <w:sz w:val="24"/>
          <w:szCs w:val="24"/>
        </w:rPr>
        <w:t>ly counts as "one of us," was left mostly unresolved, because that boundary is drawn by everyday social life and cultural expectations, not only by law.</w:t>
      </w:r>
    </w:p>
    <w:p w14:paraId="4AEECD0F" w14:textId="77777777" w:rsidR="002B5528" w:rsidRDefault="00BB2415">
      <w:pPr>
        <w:spacing w:before="240" w:line="480" w:lineRule="auto"/>
      </w:pPr>
      <w:r>
        <w:rPr>
          <w:b/>
          <w:bCs/>
          <w:sz w:val="24"/>
          <w:szCs w:val="24"/>
        </w:rPr>
        <w:t>Conclusion</w:t>
      </w:r>
    </w:p>
    <w:p w14:paraId="463D84F3" w14:textId="77777777" w:rsidR="002B5528" w:rsidRDefault="00BB2415">
      <w:pPr>
        <w:spacing w:line="480" w:lineRule="auto"/>
        <w:ind w:firstLine="720"/>
        <w:jc w:val="both"/>
      </w:pPr>
      <w:r>
        <w:rPr>
          <w:sz w:val="24"/>
          <w:szCs w:val="24"/>
        </w:rPr>
        <w:lastRenderedPageBreak/>
        <w:t>Taken together, the Bihari case shows that legal citizenship and national belonging are not the same thing, even though it is easy to assume they are. The community's history, from full Pakistani citizens in 1947, to stateless camp residents after 1971, to</w:t>
      </w:r>
      <w:r>
        <w:rPr>
          <w:sz w:val="24"/>
          <w:szCs w:val="24"/>
        </w:rPr>
        <w:t xml:space="preserve"> legally recognized Bangladeshi citizens after 2008, shows how citizenship can be granted and taken away depending on political circumstances rather than any fixed rule. Brubaker and Agamben help explain how legal closure created something close to a liter</w:t>
      </w:r>
      <w:r>
        <w:rPr>
          <w:sz w:val="24"/>
          <w:szCs w:val="24"/>
        </w:rPr>
        <w:t xml:space="preserve">al camp, a space of exception where people were "officially dead" long after the war had ended. Arendt and </w:t>
      </w:r>
      <w:proofErr w:type="spellStart"/>
      <w:r>
        <w:rPr>
          <w:sz w:val="24"/>
          <w:szCs w:val="24"/>
        </w:rPr>
        <w:t>Balibar</w:t>
      </w:r>
      <w:proofErr w:type="spellEnd"/>
      <w:r>
        <w:rPr>
          <w:sz w:val="24"/>
          <w:szCs w:val="24"/>
        </w:rPr>
        <w:t xml:space="preserve"> help explain why statelessness itself </w:t>
      </w:r>
      <w:proofErr w:type="gramStart"/>
      <w:r>
        <w:rPr>
          <w:sz w:val="24"/>
          <w:szCs w:val="24"/>
        </w:rPr>
        <w:t>was</w:t>
      </w:r>
      <w:proofErr w:type="gramEnd"/>
      <w:r>
        <w:rPr>
          <w:sz w:val="24"/>
          <w:szCs w:val="24"/>
        </w:rPr>
        <w:t xml:space="preserve"> so damaging, and why real change only came through sustained pressure from the community rather tha</w:t>
      </w:r>
      <w:r>
        <w:rPr>
          <w:sz w:val="24"/>
          <w:szCs w:val="24"/>
        </w:rPr>
        <w:t xml:space="preserve">n from the goodwill of the state. Anderson and </w:t>
      </w:r>
      <w:proofErr w:type="spellStart"/>
      <w:r>
        <w:rPr>
          <w:sz w:val="24"/>
          <w:szCs w:val="24"/>
        </w:rPr>
        <w:t>Balibar</w:t>
      </w:r>
      <w:proofErr w:type="spellEnd"/>
      <w:r>
        <w:rPr>
          <w:sz w:val="24"/>
          <w:szCs w:val="24"/>
        </w:rPr>
        <w:t xml:space="preserve"> together explain why legal recognition in 2008 still </w:t>
      </w:r>
      <w:proofErr w:type="gramStart"/>
      <w:r>
        <w:rPr>
          <w:sz w:val="24"/>
          <w:szCs w:val="24"/>
        </w:rPr>
        <w:t>was</w:t>
      </w:r>
      <w:proofErr w:type="gramEnd"/>
      <w:r>
        <w:rPr>
          <w:sz w:val="24"/>
          <w:szCs w:val="24"/>
        </w:rPr>
        <w:t xml:space="preserve"> not enough to end exclusion, since the deeper conflict was between two different imagined communities that no single court ruling could fully re</w:t>
      </w:r>
      <w:r>
        <w:rPr>
          <w:sz w:val="24"/>
          <w:szCs w:val="24"/>
        </w:rPr>
        <w:t>pair. The Bihari case is ultimately a reminder that citizenship on paper is only the beginning of belonging, not the end of it.</w:t>
      </w:r>
    </w:p>
    <w:p w14:paraId="41224993" w14:textId="77777777" w:rsidR="002B5528" w:rsidRDefault="00BB2415">
      <w:r>
        <w:br w:type="page"/>
      </w:r>
    </w:p>
    <w:p w14:paraId="5B6D6A70" w14:textId="77777777" w:rsidR="002B5528" w:rsidRDefault="00BB2415">
      <w:pPr>
        <w:spacing w:after="240" w:line="480" w:lineRule="auto"/>
        <w:jc w:val="center"/>
      </w:pPr>
      <w:bookmarkStart w:id="0" w:name="_Hlk235485297"/>
      <w:r>
        <w:rPr>
          <w:b/>
          <w:bCs/>
          <w:sz w:val="24"/>
          <w:szCs w:val="24"/>
        </w:rPr>
        <w:lastRenderedPageBreak/>
        <w:t>References</w:t>
      </w:r>
    </w:p>
    <w:p w14:paraId="0F9922F5" w14:textId="77777777" w:rsidR="002B5528" w:rsidRDefault="00BB2415">
      <w:pPr>
        <w:spacing w:line="480" w:lineRule="auto"/>
        <w:ind w:left="720" w:hanging="720"/>
      </w:pPr>
      <w:r>
        <w:rPr>
          <w:sz w:val="24"/>
          <w:szCs w:val="24"/>
        </w:rPr>
        <w:t xml:space="preserve">Agamben, G. (2000). Means without end: Notes on politics (V. </w:t>
      </w:r>
      <w:proofErr w:type="spellStart"/>
      <w:r>
        <w:rPr>
          <w:sz w:val="24"/>
          <w:szCs w:val="24"/>
        </w:rPr>
        <w:t>Binetti</w:t>
      </w:r>
      <w:proofErr w:type="spellEnd"/>
      <w:r>
        <w:rPr>
          <w:sz w:val="24"/>
          <w:szCs w:val="24"/>
        </w:rPr>
        <w:t xml:space="preserve"> &amp; C. </w:t>
      </w:r>
      <w:proofErr w:type="spellStart"/>
      <w:r>
        <w:rPr>
          <w:sz w:val="24"/>
          <w:szCs w:val="24"/>
        </w:rPr>
        <w:t>Casarino</w:t>
      </w:r>
      <w:proofErr w:type="spellEnd"/>
      <w:r>
        <w:rPr>
          <w:sz w:val="24"/>
          <w:szCs w:val="24"/>
        </w:rPr>
        <w:t>, Trans.). University of Minnesot</w:t>
      </w:r>
      <w:r>
        <w:rPr>
          <w:sz w:val="24"/>
          <w:szCs w:val="24"/>
        </w:rPr>
        <w:t>a Press.</w:t>
      </w:r>
    </w:p>
    <w:p w14:paraId="00DEC36F" w14:textId="77777777" w:rsidR="002B5528" w:rsidRDefault="00BB2415">
      <w:pPr>
        <w:spacing w:line="480" w:lineRule="auto"/>
        <w:ind w:left="720" w:hanging="720"/>
      </w:pPr>
      <w:r>
        <w:rPr>
          <w:sz w:val="24"/>
          <w:szCs w:val="24"/>
        </w:rPr>
        <w:t>Anderson, B. (1983). Imagined communities: Reflections on the origin and spread of nationalism. Verso.</w:t>
      </w:r>
    </w:p>
    <w:p w14:paraId="7CFC362A" w14:textId="77777777" w:rsidR="002B5528" w:rsidRDefault="00BB2415">
      <w:pPr>
        <w:spacing w:line="480" w:lineRule="auto"/>
        <w:ind w:left="720" w:hanging="720"/>
      </w:pPr>
      <w:r>
        <w:rPr>
          <w:sz w:val="24"/>
          <w:szCs w:val="24"/>
        </w:rPr>
        <w:t>Arendt, H. (1968). The decline of the nation-state and the end of the rights of man. In The origins of totalitarianism (pp. 267–302). Harcourt.</w:t>
      </w:r>
    </w:p>
    <w:p w14:paraId="72B6D5FA" w14:textId="77777777" w:rsidR="002B5528" w:rsidRDefault="00BB2415">
      <w:pPr>
        <w:spacing w:line="480" w:lineRule="auto"/>
        <w:ind w:left="720" w:hanging="720"/>
      </w:pPr>
      <w:proofErr w:type="spellStart"/>
      <w:r>
        <w:rPr>
          <w:sz w:val="24"/>
          <w:szCs w:val="24"/>
        </w:rPr>
        <w:t>Balibar</w:t>
      </w:r>
      <w:proofErr w:type="spellEnd"/>
      <w:r>
        <w:rPr>
          <w:sz w:val="24"/>
          <w:szCs w:val="24"/>
        </w:rPr>
        <w:t>, É. (2015). Citizenship. Polity Press.</w:t>
      </w:r>
    </w:p>
    <w:p w14:paraId="6B3BD2C6" w14:textId="77777777" w:rsidR="002B5528" w:rsidRDefault="00BB2415">
      <w:pPr>
        <w:spacing w:line="480" w:lineRule="auto"/>
        <w:ind w:left="720" w:hanging="720"/>
      </w:pPr>
      <w:r>
        <w:rPr>
          <w:sz w:val="24"/>
          <w:szCs w:val="24"/>
        </w:rPr>
        <w:t>Brubaker, R. (1992). Citizenship as social closure. In Citizenship and nationhood in France and Germany (pp. 21–34). Harvard University Press.</w:t>
      </w:r>
    </w:p>
    <w:p w14:paraId="7111F8FA" w14:textId="77777777" w:rsidR="002B5528" w:rsidRDefault="00BB2415">
      <w:pPr>
        <w:spacing w:line="480" w:lineRule="auto"/>
        <w:ind w:left="720" w:hanging="720"/>
      </w:pPr>
      <w:r>
        <w:rPr>
          <w:sz w:val="24"/>
          <w:szCs w:val="24"/>
        </w:rPr>
        <w:t xml:space="preserve">Haider, Z. (2018). </w:t>
      </w:r>
      <w:proofErr w:type="spellStart"/>
      <w:r>
        <w:rPr>
          <w:sz w:val="24"/>
          <w:szCs w:val="24"/>
        </w:rPr>
        <w:t>Biharis</w:t>
      </w:r>
      <w:proofErr w:type="spellEnd"/>
      <w:r>
        <w:rPr>
          <w:sz w:val="24"/>
          <w:szCs w:val="24"/>
        </w:rPr>
        <w:t xml:space="preserve"> in Bangladesh and their restricted acce</w:t>
      </w:r>
      <w:r>
        <w:rPr>
          <w:sz w:val="24"/>
          <w:szCs w:val="24"/>
        </w:rPr>
        <w:t>ss to citizenship rights. South Asia Research, 38(3_suppl), 25S–42S. https://doi.org/10.1177/0262728018791695</w:t>
      </w:r>
    </w:p>
    <w:p w14:paraId="5989832F" w14:textId="77777777" w:rsidR="002B5528" w:rsidRDefault="00BB2415">
      <w:pPr>
        <w:spacing w:line="480" w:lineRule="auto"/>
        <w:ind w:left="720" w:hanging="720"/>
      </w:pPr>
      <w:r>
        <w:rPr>
          <w:sz w:val="24"/>
          <w:szCs w:val="24"/>
        </w:rPr>
        <w:t>Roy, H. (2020). Testing citizenship in the Bengal borderlands. Current History, 119(816), 128–133. https://doi.org/10.1525/curh.2020.119.816.128</w:t>
      </w:r>
    </w:p>
    <w:p w14:paraId="0B7A7F5D" w14:textId="77777777" w:rsidR="002B5528" w:rsidRDefault="00BB2415">
      <w:pPr>
        <w:spacing w:line="480" w:lineRule="auto"/>
        <w:ind w:left="720" w:hanging="720"/>
      </w:pPr>
      <w:r>
        <w:rPr>
          <w:sz w:val="24"/>
          <w:szCs w:val="24"/>
        </w:rPr>
        <w:t>S</w:t>
      </w:r>
      <w:r>
        <w:rPr>
          <w:sz w:val="24"/>
          <w:szCs w:val="24"/>
        </w:rPr>
        <w:t>en, S. (1999). Stateless refugees and the right to return: The Bihari refugees of South Asia, Part 1. International Journal of Refugee Law, 11(4), 625–645. https://doi.org/10.1093/ijrl/11.4.625</w:t>
      </w:r>
    </w:p>
    <w:p w14:paraId="7574CBBA" w14:textId="77777777" w:rsidR="002B5528" w:rsidRDefault="00BB2415">
      <w:pPr>
        <w:spacing w:line="480" w:lineRule="auto"/>
        <w:ind w:left="720" w:hanging="720"/>
      </w:pPr>
      <w:r>
        <w:rPr>
          <w:sz w:val="24"/>
          <w:szCs w:val="24"/>
        </w:rPr>
        <w:t>Sen, S. (2000). Stateless refugees and the right to return: Th</w:t>
      </w:r>
      <w:r>
        <w:rPr>
          <w:sz w:val="24"/>
          <w:szCs w:val="24"/>
        </w:rPr>
        <w:t>e Bihari refugees of South Asia, Part 2. International Journal of Refugee Law, 12(1), 41–70. https://doi.org/10.1093/ijrl/12.1.41</w:t>
      </w:r>
    </w:p>
    <w:p w14:paraId="1CB8A093" w14:textId="77777777" w:rsidR="002B5528" w:rsidRDefault="00BB2415">
      <w:pPr>
        <w:spacing w:line="480" w:lineRule="auto"/>
        <w:ind w:left="720" w:hanging="720"/>
      </w:pPr>
      <w:r>
        <w:rPr>
          <w:sz w:val="24"/>
          <w:szCs w:val="24"/>
        </w:rPr>
        <w:t>Siddiqi, D. M. (2013). Left behind by the nation: 'Stranded Pakistanis' in Bangladesh. Sites: New Series, 10(1), 150–183. http</w:t>
      </w:r>
      <w:r>
        <w:rPr>
          <w:sz w:val="24"/>
          <w:szCs w:val="24"/>
        </w:rPr>
        <w:t>s://doi.org/10.11157/sites-vol10iss2id253</w:t>
      </w:r>
      <w:bookmarkEnd w:id="0"/>
    </w:p>
    <w:sectPr w:rsidR="002B55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D5C55"/>
    <w:multiLevelType w:val="hybridMultilevel"/>
    <w:tmpl w:val="E654AC62"/>
    <w:lvl w:ilvl="0" w:tplc="9E28030A">
      <w:start w:val="1"/>
      <w:numFmt w:val="bullet"/>
      <w:lvlText w:val="●"/>
      <w:lvlJc w:val="left"/>
      <w:pPr>
        <w:ind w:left="720" w:hanging="360"/>
      </w:pPr>
    </w:lvl>
    <w:lvl w:ilvl="1" w:tplc="CDAE368C">
      <w:start w:val="1"/>
      <w:numFmt w:val="bullet"/>
      <w:lvlText w:val="○"/>
      <w:lvlJc w:val="left"/>
      <w:pPr>
        <w:ind w:left="1440" w:hanging="360"/>
      </w:pPr>
    </w:lvl>
    <w:lvl w:ilvl="2" w:tplc="EDD81F12">
      <w:start w:val="1"/>
      <w:numFmt w:val="bullet"/>
      <w:lvlText w:val="■"/>
      <w:lvlJc w:val="left"/>
      <w:pPr>
        <w:ind w:left="2160" w:hanging="360"/>
      </w:pPr>
    </w:lvl>
    <w:lvl w:ilvl="3" w:tplc="7E1EA130">
      <w:start w:val="1"/>
      <w:numFmt w:val="bullet"/>
      <w:lvlText w:val="●"/>
      <w:lvlJc w:val="left"/>
      <w:pPr>
        <w:ind w:left="2880" w:hanging="360"/>
      </w:pPr>
    </w:lvl>
    <w:lvl w:ilvl="4" w:tplc="2B3611C4">
      <w:start w:val="1"/>
      <w:numFmt w:val="bullet"/>
      <w:lvlText w:val="○"/>
      <w:lvlJc w:val="left"/>
      <w:pPr>
        <w:ind w:left="3600" w:hanging="360"/>
      </w:pPr>
    </w:lvl>
    <w:lvl w:ilvl="5" w:tplc="F62477E8">
      <w:start w:val="1"/>
      <w:numFmt w:val="bullet"/>
      <w:lvlText w:val="■"/>
      <w:lvlJc w:val="left"/>
      <w:pPr>
        <w:ind w:left="4320" w:hanging="360"/>
      </w:pPr>
    </w:lvl>
    <w:lvl w:ilvl="6" w:tplc="717619A0">
      <w:start w:val="1"/>
      <w:numFmt w:val="bullet"/>
      <w:lvlText w:val="●"/>
      <w:lvlJc w:val="left"/>
      <w:pPr>
        <w:ind w:left="5040" w:hanging="360"/>
      </w:pPr>
    </w:lvl>
    <w:lvl w:ilvl="7" w:tplc="5D86637C">
      <w:start w:val="1"/>
      <w:numFmt w:val="bullet"/>
      <w:lvlText w:val="●"/>
      <w:lvlJc w:val="left"/>
      <w:pPr>
        <w:ind w:left="5760" w:hanging="360"/>
      </w:pPr>
    </w:lvl>
    <w:lvl w:ilvl="8" w:tplc="201410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528"/>
    <w:rsid w:val="002B5528"/>
    <w:rsid w:val="00BB2415"/>
    <w:rsid w:val="00C34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3195"/>
  <w15:docId w15:val="{426FD093-AA12-47BD-9750-90E8B844B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Tahsin</cp:lastModifiedBy>
  <cp:revision>3</cp:revision>
  <dcterms:created xsi:type="dcterms:W3CDTF">2026-07-18T07:22:00Z</dcterms:created>
  <dcterms:modified xsi:type="dcterms:W3CDTF">2026-07-20T18:15:00Z</dcterms:modified>
</cp:coreProperties>
</file>