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A54DB9" w14:textId="77777777" w:rsidR="00254CB7" w:rsidRDefault="00254CB7" w:rsidP="00254CB7">
      <w:pPr>
        <w:pStyle w:val="Heading1"/>
      </w:pPr>
      <w:r>
        <w:t>Myth, Power, and Practice: How Ancient Stories Shaped Politics, Culture, and Faith</w:t>
      </w:r>
    </w:p>
    <w:p w14:paraId="00A3690F" w14:textId="6C3237AD" w:rsidR="00254CB7" w:rsidRDefault="00254CB7" w:rsidP="00254CB7">
      <w:pPr>
        <w:pStyle w:val="NormalWeb"/>
      </w:pPr>
      <w:r>
        <w:t>Myth is a shared story people treat as true enough to live by. In the ancient world these stories shaped how communities pictured the gods, who should hold office, what counted as a good life, and even the yearly rhythm of work and worship. Myths did not decorate culture; they carried reasons for authority, assigned duties, and gave moral feelings a shape. My position is simple: myth functioned as the working language of social order</w:t>
      </w:r>
      <w:r w:rsidR="005E35B5">
        <w:t xml:space="preserve"> </w:t>
      </w:r>
      <w:r>
        <w:t>it legitimated political hierarchies and social norms, it reflected and trained everyday practices, it framed religious and philosophical thinking, and it was repeatedly repurposed by rulers to fuse sacred prestige to power (Black, 2016; Eliade, 1979).</w:t>
      </w:r>
    </w:p>
    <w:p w14:paraId="1802166E" w14:textId="4C69637D" w:rsidR="00254CB7" w:rsidRDefault="00254CB7" w:rsidP="00254CB7">
      <w:pPr>
        <w:pStyle w:val="NormalWeb"/>
      </w:pPr>
      <w:r>
        <w:t>Ancient societies used myth to justify ideas about who should rule and how rank should work. Greek tradition is a direct case. Zeus stands as a supreme law-giver whose command and justice travel together; that image supports concentrated authority and the belief that power and right belong in the same hand (Black, 2016). Inside the polis this mapped onto citizenship ideals: the “proper” citizen was the armed, property-holding male whose courage guarded the city and therefore earned a voice. Athenian democracy, though innovative, rested on that narrow ideal</w:t>
      </w:r>
      <w:r w:rsidR="005E35B5">
        <w:t xml:space="preserve"> </w:t>
      </w:r>
      <w:r>
        <w:t>adult male citizens spoke and voted; women, enslaved people, and metics did not. Heroic profiles in myth made the restricted franchise feel normal rather than chosen. Rome turns the same key differently. The tale of Romulus and Remus ties the city to Mars; sovereignty looks inherited from a war god, while the fratricide is read as tragic necessity for the common good. Later discipline, strong magistrates, and expansion could be narrated as fidelity to a sacred beginning (Mondi, 1980; Black, 2016).</w:t>
      </w:r>
    </w:p>
    <w:p w14:paraId="2323335C" w14:textId="77777777" w:rsidR="00254CB7" w:rsidRDefault="00254CB7" w:rsidP="00254CB7">
      <w:pPr>
        <w:pStyle w:val="NormalWeb"/>
      </w:pPr>
      <w:r>
        <w:t>Myths also mirrored and trained socio-political and cultural practices so that ordinary administration felt like moral action. In Egypt the Osiris–Isis–Horus cycle casts the pharaoh as the restorer of maʿat, the balance that keeps chaos back. Courts, field measurements, and temple calendars became ways of performing that balance; judging a dispute or timing a tax harvest could be presented as pushing back disorder (Goebs &amp; Baines, 2018). Public festivals and Sed jubilees linked Nile time to political time so people repeatedly felt the world set right through royal ritual (Eliade, 1979; Goebs &amp; Baines, 2018). India offers a parallel by a different logic. In the Mahābhārata, dharma binds role-duty to the health of the cosmos. Householders, warriors, and rulers carry distinct obligations; keeping them is not only social order, it is moral hygiene. Marriage rules, food practice, charity, and loyalty to station stabilize hierarchy without constant force, because the ordinary act feels heavy with meaning (Deliège, 1993). Greek civic life shows the same stitch from another angle: household cults and civic festivals taught that honoring family and honoring the city were the same habit, which made law feel like piety in motion (Black, 2016).</w:t>
      </w:r>
    </w:p>
    <w:p w14:paraId="187614A6" w14:textId="226EBE11" w:rsidR="00254CB7" w:rsidRDefault="00254CB7" w:rsidP="00254CB7">
      <w:pPr>
        <w:pStyle w:val="NormalWeb"/>
      </w:pPr>
      <w:r>
        <w:t xml:space="preserve">Religious narratives and philosophical discourses were shaped and conditioned by myth because stories are how complex ideas travel. Plato criticizes the poets, yet he uses myth-like scenes to carry arguments into common memory. As Edelstein puts it, “Every reader of Plato’s works… must be aware… [he] is also an adept of myth” (1949, p. 2). The Allegory of the Cave stages </w:t>
      </w:r>
      <w:r>
        <w:lastRenderedPageBreak/>
        <w:t>false seeing, painful education, and a duty to govern once truth is grasped; it teaches that rulers should be those who know more and also that they must return to serve the city, even if it costs them (Annas, 1982). Elsewhere, the so-called noble lie</w:t>
      </w:r>
      <w:r w:rsidR="005E35B5">
        <w:t xml:space="preserve"> </w:t>
      </w:r>
      <w:r>
        <w:t>or “myth of metals”</w:t>
      </w:r>
      <w:r w:rsidR="005E35B5">
        <w:t xml:space="preserve"> </w:t>
      </w:r>
      <w:r>
        <w:t>retells class differentiation as a birth story about gold, silver, and bronze souls; that turns a dry doctrine about division of labor into a tale a citizen can remember and teach (Edelstein, 1949). Greek heroic narratives supplied a shared vocabulary for ethics, too. The labors of Heracles became ready images for courage, perseverance, and the taming of force for public good; philosophers refined those virtues, but story made the lesson stick in everyday talk (Black, 2016).</w:t>
      </w:r>
    </w:p>
    <w:p w14:paraId="0502D353" w14:textId="77777777" w:rsidR="00254CB7" w:rsidRDefault="00254CB7" w:rsidP="00254CB7">
      <w:pPr>
        <w:pStyle w:val="NormalWeb"/>
      </w:pPr>
      <w:r>
        <w:t>Elites also appropriated myths on purpose to join sacred value to their own projects. In Mesopotamia, Marduk’s ascent is written so that political supremacy looks like cosmic victory: he “obtained supreme power… and reorganized the universe to his plans” (Lambert, 1984, p. 6). When such tales were performed in New Year rites, royal authority was tied to creation itself, so supporting the king meant siding with the god who ordered the world. In the Norse sphere, the promise of Valhalla and the Valkyries’ choice of the slain sacralized courage: “the Valkyries would fly over the fighting and select the most valiant of those who died,” then carry them to Odin’s hall (Bensel, 2008, p. 2). That belief turned death in battle into a reward economy leaders could convert into cohesion and warmaking. Early China shows a related move with a moral tone. If the ruler deviated from the proper pattern, it might be “necessary for his mandate to be taken away… and for another to be appointed by Heaven to take his place” (Smith, 1957, p. 34). Here obedience and cosmic order were braided together; disaster could even be read as a signal to change dynasties.</w:t>
      </w:r>
    </w:p>
    <w:p w14:paraId="5871DD06" w14:textId="3A675A7B" w:rsidR="00254CB7" w:rsidRDefault="00254CB7" w:rsidP="00254CB7">
      <w:pPr>
        <w:pStyle w:val="NormalWeb"/>
      </w:pPr>
      <w:r>
        <w:t>The same logic, softened, echoes now. Founders, flags, national days, and school rituals are not just decorations; they are civil myths about who we are and why our institutions deserve trust. When we retell a founding struggle as the origin of freedom, we invite people to read present policies as faithful to that beginning. Sometimes that inspires service, which can be good. Sometimes it hides exclusions, just as Athenian democracy hid its limits behind the ideal citizen. The point is not cynicism but clarity. If myth is the grammar of order, we should ask who is carried by the sentence and who is left outside it (Black, 2016). That habit</w:t>
      </w:r>
      <w:r w:rsidR="005E35B5">
        <w:t xml:space="preserve"> </w:t>
      </w:r>
      <w:r>
        <w:t>skeptical but fair</w:t>
      </w:r>
      <w:r w:rsidR="005E35B5">
        <w:t xml:space="preserve"> </w:t>
      </w:r>
      <w:r>
        <w:t>is part of citizenship.</w:t>
      </w:r>
    </w:p>
    <w:p w14:paraId="2339046A" w14:textId="77777777" w:rsidR="00254CB7" w:rsidRDefault="00254CB7" w:rsidP="00254CB7">
      <w:pPr>
        <w:pStyle w:val="NormalWeb"/>
      </w:pPr>
      <w:r>
        <w:t>To close, myth in antiquity made rank and rule feel natural by tying them to divine order; it shaped and trained everyday practice so that law and ritual felt like one action; it gave religious and philosophical ideas forms people could remember; and it was curated by rulers to weld sacred prestige to the state (Eliade, 1979; Goebs &amp; Baines, 2018; Deliège, 1993; Annas, 1982; Edelstein, 1949; Lambert, 1984; Bensel, 2008; Mondi, 1980; Black, 2016). My view is that once we see myth working this way we can admire the beauty of the stories, but also resist the slide from meaning to blind obedience. That’s the balance I’m arguing for.</w:t>
      </w:r>
    </w:p>
    <w:p w14:paraId="6A6F5307" w14:textId="5D6B0E67" w:rsidR="007C15B1" w:rsidRDefault="007C15B1"/>
    <w:p w14:paraId="6F147296" w14:textId="7E7CD747" w:rsidR="00254CB7" w:rsidRDefault="00254CB7"/>
    <w:p w14:paraId="165BC97D" w14:textId="77777777" w:rsidR="00254CB7" w:rsidRDefault="00254CB7"/>
    <w:p w14:paraId="34221E93" w14:textId="1BFBB004" w:rsidR="00E6086B" w:rsidRDefault="00E6086B"/>
    <w:p w14:paraId="049A8874" w14:textId="77777777" w:rsidR="00E6086B" w:rsidRPr="00445B9E" w:rsidRDefault="00E6086B" w:rsidP="00E6086B">
      <w:pPr>
        <w:jc w:val="center"/>
        <w:rPr>
          <w:rFonts w:ascii="Times New Roman" w:hAnsi="Times New Roman" w:cs="Times New Roman"/>
          <w:b/>
          <w:bCs/>
          <w:sz w:val="24"/>
          <w:szCs w:val="24"/>
        </w:rPr>
      </w:pPr>
      <w:r w:rsidRPr="00445B9E">
        <w:rPr>
          <w:rFonts w:ascii="Times New Roman" w:hAnsi="Times New Roman" w:cs="Times New Roman"/>
          <w:b/>
          <w:bCs/>
          <w:sz w:val="24"/>
          <w:szCs w:val="24"/>
        </w:rPr>
        <w:lastRenderedPageBreak/>
        <w:t>Reference</w:t>
      </w:r>
    </w:p>
    <w:p w14:paraId="377170F4"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eastAsia="Times New Roman" w:hAnsi="Times New Roman" w:cs="Times New Roman"/>
          <w:sz w:val="24"/>
          <w:szCs w:val="24"/>
        </w:rPr>
        <w:t xml:space="preserve">Annas, J. (1982). Plato’s Myths of Judgement. </w:t>
      </w:r>
      <w:r w:rsidRPr="005263FC">
        <w:rPr>
          <w:rFonts w:ascii="Times New Roman" w:eastAsia="Times New Roman" w:hAnsi="Times New Roman" w:cs="Times New Roman"/>
          <w:i/>
          <w:iCs/>
          <w:sz w:val="24"/>
          <w:szCs w:val="24"/>
        </w:rPr>
        <w:t>Phronesis</w:t>
      </w:r>
      <w:r w:rsidRPr="005263FC">
        <w:rPr>
          <w:rFonts w:ascii="Times New Roman" w:eastAsia="Times New Roman" w:hAnsi="Times New Roman" w:cs="Times New Roman"/>
          <w:sz w:val="24"/>
          <w:szCs w:val="24"/>
        </w:rPr>
        <w:t xml:space="preserve">, </w:t>
      </w:r>
      <w:r w:rsidRPr="005263FC">
        <w:rPr>
          <w:rFonts w:ascii="Times New Roman" w:eastAsia="Times New Roman" w:hAnsi="Times New Roman" w:cs="Times New Roman"/>
          <w:i/>
          <w:iCs/>
          <w:sz w:val="24"/>
          <w:szCs w:val="24"/>
        </w:rPr>
        <w:t>27</w:t>
      </w:r>
      <w:r w:rsidRPr="005263FC">
        <w:rPr>
          <w:rFonts w:ascii="Times New Roman" w:eastAsia="Times New Roman" w:hAnsi="Times New Roman" w:cs="Times New Roman"/>
          <w:sz w:val="24"/>
          <w:szCs w:val="24"/>
        </w:rPr>
        <w:t>(2), 119–143. http://www.jstor.org/stable/4182147</w:t>
      </w:r>
    </w:p>
    <w:p w14:paraId="2A13EC68"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eastAsia="Times New Roman" w:hAnsi="Times New Roman" w:cs="Times New Roman"/>
          <w:sz w:val="24"/>
          <w:szCs w:val="24"/>
        </w:rPr>
        <w:t xml:space="preserve">Bensel, R. F. (2008). Valor and Valkyries: Why the State Needs Valhalla. </w:t>
      </w:r>
      <w:r w:rsidRPr="005263FC">
        <w:rPr>
          <w:rFonts w:ascii="Times New Roman" w:eastAsia="Times New Roman" w:hAnsi="Times New Roman" w:cs="Times New Roman"/>
          <w:i/>
          <w:iCs/>
          <w:sz w:val="24"/>
          <w:szCs w:val="24"/>
        </w:rPr>
        <w:t>Polity</w:t>
      </w:r>
      <w:r w:rsidRPr="005263FC">
        <w:rPr>
          <w:rFonts w:ascii="Times New Roman" w:eastAsia="Times New Roman" w:hAnsi="Times New Roman" w:cs="Times New Roman"/>
          <w:sz w:val="24"/>
          <w:szCs w:val="24"/>
        </w:rPr>
        <w:t xml:space="preserve">, </w:t>
      </w:r>
      <w:r w:rsidRPr="005263FC">
        <w:rPr>
          <w:rFonts w:ascii="Times New Roman" w:eastAsia="Times New Roman" w:hAnsi="Times New Roman" w:cs="Times New Roman"/>
          <w:i/>
          <w:iCs/>
          <w:sz w:val="24"/>
          <w:szCs w:val="24"/>
        </w:rPr>
        <w:t>40</w:t>
      </w:r>
      <w:r w:rsidRPr="005263FC">
        <w:rPr>
          <w:rFonts w:ascii="Times New Roman" w:eastAsia="Times New Roman" w:hAnsi="Times New Roman" w:cs="Times New Roman"/>
          <w:sz w:val="24"/>
          <w:szCs w:val="24"/>
        </w:rPr>
        <w:t>(3), 386–393. http://www.jstor.org/stable/40213487</w:t>
      </w:r>
    </w:p>
    <w:p w14:paraId="59612D6B"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hAnsi="Times New Roman" w:cs="Times New Roman"/>
          <w:sz w:val="24"/>
          <w:szCs w:val="24"/>
        </w:rPr>
        <w:t xml:space="preserve">Black, A. (2016). </w:t>
      </w:r>
      <w:r w:rsidRPr="005263FC">
        <w:rPr>
          <w:rStyle w:val="Emphasis"/>
          <w:rFonts w:ascii="Times New Roman" w:hAnsi="Times New Roman" w:cs="Times New Roman"/>
          <w:sz w:val="24"/>
          <w:szCs w:val="24"/>
        </w:rPr>
        <w:t>A world history of ancient political thought: Its significance and consequences</w:t>
      </w:r>
      <w:r w:rsidRPr="005263FC">
        <w:rPr>
          <w:rFonts w:ascii="Times New Roman" w:hAnsi="Times New Roman" w:cs="Times New Roman"/>
          <w:sz w:val="24"/>
          <w:szCs w:val="24"/>
        </w:rPr>
        <w:t>. Oxford University Press.</w:t>
      </w:r>
    </w:p>
    <w:p w14:paraId="00184155"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eastAsia="Times New Roman" w:hAnsi="Times New Roman" w:cs="Times New Roman"/>
          <w:sz w:val="24"/>
          <w:szCs w:val="24"/>
        </w:rPr>
        <w:t xml:space="preserve">Deliège, R. (1993). The Myths of Origin of the Indian Untouchables. </w:t>
      </w:r>
      <w:r w:rsidRPr="005263FC">
        <w:rPr>
          <w:rFonts w:ascii="Times New Roman" w:eastAsia="Times New Roman" w:hAnsi="Times New Roman" w:cs="Times New Roman"/>
          <w:i/>
          <w:iCs/>
          <w:sz w:val="24"/>
          <w:szCs w:val="24"/>
        </w:rPr>
        <w:t>Man</w:t>
      </w:r>
      <w:r w:rsidRPr="005263FC">
        <w:rPr>
          <w:rFonts w:ascii="Times New Roman" w:eastAsia="Times New Roman" w:hAnsi="Times New Roman" w:cs="Times New Roman"/>
          <w:sz w:val="24"/>
          <w:szCs w:val="24"/>
        </w:rPr>
        <w:t xml:space="preserve">, </w:t>
      </w:r>
      <w:r w:rsidRPr="005263FC">
        <w:rPr>
          <w:rFonts w:ascii="Times New Roman" w:eastAsia="Times New Roman" w:hAnsi="Times New Roman" w:cs="Times New Roman"/>
          <w:i/>
          <w:iCs/>
          <w:sz w:val="24"/>
          <w:szCs w:val="24"/>
        </w:rPr>
        <w:t>28</w:t>
      </w:r>
      <w:r w:rsidRPr="005263FC">
        <w:rPr>
          <w:rFonts w:ascii="Times New Roman" w:eastAsia="Times New Roman" w:hAnsi="Times New Roman" w:cs="Times New Roman"/>
          <w:sz w:val="24"/>
          <w:szCs w:val="24"/>
        </w:rPr>
        <w:t>(3), 533–549. https://doi.org/10.2307/2804238</w:t>
      </w:r>
    </w:p>
    <w:p w14:paraId="3D8F1D17"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eastAsia="Times New Roman" w:hAnsi="Times New Roman" w:cs="Times New Roman"/>
          <w:sz w:val="24"/>
          <w:szCs w:val="24"/>
        </w:rPr>
        <w:t xml:space="preserve">Edelstein, L. (1949). The Function of the Myth in Plato’s Philosophy. </w:t>
      </w:r>
      <w:r w:rsidRPr="005263FC">
        <w:rPr>
          <w:rFonts w:ascii="Times New Roman" w:eastAsia="Times New Roman" w:hAnsi="Times New Roman" w:cs="Times New Roman"/>
          <w:i/>
          <w:iCs/>
          <w:sz w:val="24"/>
          <w:szCs w:val="24"/>
        </w:rPr>
        <w:t>Journal of the History of Ideas</w:t>
      </w:r>
      <w:r w:rsidRPr="005263FC">
        <w:rPr>
          <w:rFonts w:ascii="Times New Roman" w:eastAsia="Times New Roman" w:hAnsi="Times New Roman" w:cs="Times New Roman"/>
          <w:sz w:val="24"/>
          <w:szCs w:val="24"/>
        </w:rPr>
        <w:t xml:space="preserve">, </w:t>
      </w:r>
      <w:r w:rsidRPr="005263FC">
        <w:rPr>
          <w:rFonts w:ascii="Times New Roman" w:eastAsia="Times New Roman" w:hAnsi="Times New Roman" w:cs="Times New Roman"/>
          <w:i/>
          <w:iCs/>
          <w:sz w:val="24"/>
          <w:szCs w:val="24"/>
        </w:rPr>
        <w:t>10</w:t>
      </w:r>
      <w:r w:rsidRPr="005263FC">
        <w:rPr>
          <w:rFonts w:ascii="Times New Roman" w:eastAsia="Times New Roman" w:hAnsi="Times New Roman" w:cs="Times New Roman"/>
          <w:sz w:val="24"/>
          <w:szCs w:val="24"/>
        </w:rPr>
        <w:t>(4), 463–481. https://doi.org/10.2307/2707185</w:t>
      </w:r>
    </w:p>
    <w:p w14:paraId="365BD293"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hAnsi="Times New Roman" w:cs="Times New Roman"/>
          <w:sz w:val="24"/>
          <w:szCs w:val="24"/>
        </w:rPr>
        <w:t xml:space="preserve">Eliade, M. (1979). </w:t>
      </w:r>
      <w:r w:rsidRPr="005263FC">
        <w:rPr>
          <w:rStyle w:val="Emphasis"/>
          <w:rFonts w:ascii="Times New Roman" w:hAnsi="Times New Roman" w:cs="Times New Roman"/>
          <w:sz w:val="24"/>
          <w:szCs w:val="24"/>
        </w:rPr>
        <w:t>A history of religious ideas, Vol. 1: From the Stone Age to the Eleusinian mysteries</w:t>
      </w:r>
      <w:r w:rsidRPr="005263FC">
        <w:rPr>
          <w:rFonts w:ascii="Times New Roman" w:hAnsi="Times New Roman" w:cs="Times New Roman"/>
          <w:sz w:val="24"/>
          <w:szCs w:val="24"/>
        </w:rPr>
        <w:t xml:space="preserve"> (W. R. Trask, Trans.). University of Chicago Press.</w:t>
      </w:r>
    </w:p>
    <w:p w14:paraId="7BAA22FF"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eastAsia="Times New Roman" w:hAnsi="Times New Roman" w:cs="Times New Roman"/>
          <w:sz w:val="24"/>
          <w:szCs w:val="24"/>
        </w:rPr>
        <w:t xml:space="preserve">GOEBS, K., &amp; BAINES, J. (2018). Functions and Uses of Egyptian Myth. </w:t>
      </w:r>
      <w:r w:rsidRPr="005263FC">
        <w:rPr>
          <w:rFonts w:ascii="Times New Roman" w:eastAsia="Times New Roman" w:hAnsi="Times New Roman" w:cs="Times New Roman"/>
          <w:i/>
          <w:iCs/>
          <w:sz w:val="24"/>
          <w:szCs w:val="24"/>
        </w:rPr>
        <w:t>Revue de l’histoire Des Religions</w:t>
      </w:r>
      <w:r w:rsidRPr="005263FC">
        <w:rPr>
          <w:rFonts w:ascii="Times New Roman" w:eastAsia="Times New Roman" w:hAnsi="Times New Roman" w:cs="Times New Roman"/>
          <w:sz w:val="24"/>
          <w:szCs w:val="24"/>
        </w:rPr>
        <w:t xml:space="preserve">, </w:t>
      </w:r>
      <w:r w:rsidRPr="005263FC">
        <w:rPr>
          <w:rFonts w:ascii="Times New Roman" w:eastAsia="Times New Roman" w:hAnsi="Times New Roman" w:cs="Times New Roman"/>
          <w:i/>
          <w:iCs/>
          <w:sz w:val="24"/>
          <w:szCs w:val="24"/>
        </w:rPr>
        <w:t>235</w:t>
      </w:r>
      <w:r w:rsidRPr="005263FC">
        <w:rPr>
          <w:rFonts w:ascii="Times New Roman" w:eastAsia="Times New Roman" w:hAnsi="Times New Roman" w:cs="Times New Roman"/>
          <w:sz w:val="24"/>
          <w:szCs w:val="24"/>
        </w:rPr>
        <w:t>(4), 645–682. https://www.jstor.org/stable/26976856</w:t>
      </w:r>
    </w:p>
    <w:p w14:paraId="490D896C"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eastAsia="Times New Roman" w:hAnsi="Times New Roman" w:cs="Times New Roman"/>
          <w:sz w:val="24"/>
          <w:szCs w:val="24"/>
        </w:rPr>
        <w:t xml:space="preserve">Lambert, W. G. (1984). Studies in Marduk. </w:t>
      </w:r>
      <w:r w:rsidRPr="005263FC">
        <w:rPr>
          <w:rFonts w:ascii="Times New Roman" w:eastAsia="Times New Roman" w:hAnsi="Times New Roman" w:cs="Times New Roman"/>
          <w:i/>
          <w:iCs/>
          <w:sz w:val="24"/>
          <w:szCs w:val="24"/>
        </w:rPr>
        <w:t>Bulletin of the School of Oriental and African Studies, University of London</w:t>
      </w:r>
      <w:r w:rsidRPr="005263FC">
        <w:rPr>
          <w:rFonts w:ascii="Times New Roman" w:eastAsia="Times New Roman" w:hAnsi="Times New Roman" w:cs="Times New Roman"/>
          <w:sz w:val="24"/>
          <w:szCs w:val="24"/>
        </w:rPr>
        <w:t xml:space="preserve">, </w:t>
      </w:r>
      <w:r w:rsidRPr="005263FC">
        <w:rPr>
          <w:rFonts w:ascii="Times New Roman" w:eastAsia="Times New Roman" w:hAnsi="Times New Roman" w:cs="Times New Roman"/>
          <w:i/>
          <w:iCs/>
          <w:sz w:val="24"/>
          <w:szCs w:val="24"/>
        </w:rPr>
        <w:t>47</w:t>
      </w:r>
      <w:r w:rsidRPr="005263FC">
        <w:rPr>
          <w:rFonts w:ascii="Times New Roman" w:eastAsia="Times New Roman" w:hAnsi="Times New Roman" w:cs="Times New Roman"/>
          <w:sz w:val="24"/>
          <w:szCs w:val="24"/>
        </w:rPr>
        <w:t>(1), 1–9. http://www.jstor.org/stable/618314</w:t>
      </w:r>
    </w:p>
    <w:p w14:paraId="275DC695"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eastAsia="Times New Roman" w:hAnsi="Times New Roman" w:cs="Times New Roman"/>
          <w:sz w:val="24"/>
          <w:szCs w:val="24"/>
        </w:rPr>
        <w:t xml:space="preserve">MONDI, R. (1980). ΣΚΗΠΤΟΥΧΟΙ ΒΑΣΙΛΕΙΣ: AN ARGUMENT FOR DIVINE KINGSHIP IN EARLY GREECE. </w:t>
      </w:r>
      <w:r w:rsidRPr="005263FC">
        <w:rPr>
          <w:rFonts w:ascii="Times New Roman" w:eastAsia="Times New Roman" w:hAnsi="Times New Roman" w:cs="Times New Roman"/>
          <w:i/>
          <w:iCs/>
          <w:sz w:val="24"/>
          <w:szCs w:val="24"/>
        </w:rPr>
        <w:t>Arethusa</w:t>
      </w:r>
      <w:r w:rsidRPr="005263FC">
        <w:rPr>
          <w:rFonts w:ascii="Times New Roman" w:eastAsia="Times New Roman" w:hAnsi="Times New Roman" w:cs="Times New Roman"/>
          <w:sz w:val="24"/>
          <w:szCs w:val="24"/>
        </w:rPr>
        <w:t xml:space="preserve">, </w:t>
      </w:r>
      <w:r w:rsidRPr="005263FC">
        <w:rPr>
          <w:rFonts w:ascii="Times New Roman" w:eastAsia="Times New Roman" w:hAnsi="Times New Roman" w:cs="Times New Roman"/>
          <w:i/>
          <w:iCs/>
          <w:sz w:val="24"/>
          <w:szCs w:val="24"/>
        </w:rPr>
        <w:t>13</w:t>
      </w:r>
      <w:r w:rsidRPr="005263FC">
        <w:rPr>
          <w:rFonts w:ascii="Times New Roman" w:eastAsia="Times New Roman" w:hAnsi="Times New Roman" w:cs="Times New Roman"/>
          <w:sz w:val="24"/>
          <w:szCs w:val="24"/>
        </w:rPr>
        <w:t>(2), 203–216. http://www.jstor.org/stable/26308130</w:t>
      </w:r>
    </w:p>
    <w:p w14:paraId="0B4B03BB" w14:textId="77777777" w:rsidR="00E6086B" w:rsidRPr="005263FC" w:rsidRDefault="00E6086B" w:rsidP="00E6086B">
      <w:pPr>
        <w:pStyle w:val="ListParagraph"/>
        <w:numPr>
          <w:ilvl w:val="0"/>
          <w:numId w:val="1"/>
        </w:numPr>
        <w:spacing w:after="0" w:line="480" w:lineRule="auto"/>
        <w:rPr>
          <w:rFonts w:ascii="Times New Roman" w:eastAsia="Times New Roman" w:hAnsi="Times New Roman" w:cs="Times New Roman"/>
          <w:sz w:val="24"/>
          <w:szCs w:val="24"/>
        </w:rPr>
      </w:pPr>
      <w:r w:rsidRPr="005263FC">
        <w:rPr>
          <w:rFonts w:ascii="Times New Roman" w:eastAsia="Times New Roman" w:hAnsi="Times New Roman" w:cs="Times New Roman"/>
          <w:sz w:val="24"/>
          <w:szCs w:val="24"/>
        </w:rPr>
        <w:t xml:space="preserve">Smith, D. H. (1957). Divine Kingship in Ancient China. </w:t>
      </w:r>
      <w:r w:rsidRPr="005263FC">
        <w:rPr>
          <w:rFonts w:ascii="Times New Roman" w:eastAsia="Times New Roman" w:hAnsi="Times New Roman" w:cs="Times New Roman"/>
          <w:i/>
          <w:iCs/>
          <w:sz w:val="24"/>
          <w:szCs w:val="24"/>
        </w:rPr>
        <w:t>Numen</w:t>
      </w:r>
      <w:r w:rsidRPr="005263FC">
        <w:rPr>
          <w:rFonts w:ascii="Times New Roman" w:eastAsia="Times New Roman" w:hAnsi="Times New Roman" w:cs="Times New Roman"/>
          <w:sz w:val="24"/>
          <w:szCs w:val="24"/>
        </w:rPr>
        <w:t xml:space="preserve">, </w:t>
      </w:r>
      <w:r w:rsidRPr="005263FC">
        <w:rPr>
          <w:rFonts w:ascii="Times New Roman" w:eastAsia="Times New Roman" w:hAnsi="Times New Roman" w:cs="Times New Roman"/>
          <w:i/>
          <w:iCs/>
          <w:sz w:val="24"/>
          <w:szCs w:val="24"/>
        </w:rPr>
        <w:t>4</w:t>
      </w:r>
      <w:r w:rsidRPr="005263FC">
        <w:rPr>
          <w:rFonts w:ascii="Times New Roman" w:eastAsia="Times New Roman" w:hAnsi="Times New Roman" w:cs="Times New Roman"/>
          <w:sz w:val="24"/>
          <w:szCs w:val="24"/>
        </w:rPr>
        <w:t>(3), 171–203. https://doi.org/10.2307/3269343</w:t>
      </w:r>
    </w:p>
    <w:p w14:paraId="57DAC5B2" w14:textId="77777777" w:rsidR="00E6086B" w:rsidRDefault="00E6086B" w:rsidP="00E6086B">
      <w:pPr>
        <w:rPr>
          <w:rFonts w:ascii="Times New Roman" w:hAnsi="Times New Roman" w:cs="Times New Roman"/>
          <w:sz w:val="24"/>
          <w:szCs w:val="24"/>
        </w:rPr>
      </w:pPr>
    </w:p>
    <w:p w14:paraId="7EDF104E" w14:textId="77777777" w:rsidR="00E6086B" w:rsidRDefault="00E6086B" w:rsidP="00E6086B">
      <w:pPr>
        <w:rPr>
          <w:rFonts w:ascii="Times New Roman" w:hAnsi="Times New Roman" w:cs="Times New Roman"/>
          <w:sz w:val="24"/>
          <w:szCs w:val="24"/>
        </w:rPr>
      </w:pPr>
    </w:p>
    <w:p w14:paraId="4E818DF3" w14:textId="77777777" w:rsidR="00E6086B" w:rsidRDefault="00E6086B" w:rsidP="00E6086B">
      <w:pPr>
        <w:rPr>
          <w:rFonts w:ascii="Times New Roman" w:hAnsi="Times New Roman" w:cs="Times New Roman"/>
          <w:sz w:val="24"/>
          <w:szCs w:val="24"/>
        </w:rPr>
      </w:pPr>
    </w:p>
    <w:p w14:paraId="5B2F88CE" w14:textId="77777777" w:rsidR="00E6086B" w:rsidRPr="00445B9E" w:rsidRDefault="00E6086B" w:rsidP="00E6086B">
      <w:pPr>
        <w:rPr>
          <w:rFonts w:ascii="Times New Roman" w:hAnsi="Times New Roman" w:cs="Times New Roman"/>
          <w:sz w:val="24"/>
          <w:szCs w:val="24"/>
        </w:rPr>
      </w:pPr>
    </w:p>
    <w:p w14:paraId="219C4F4A" w14:textId="77777777" w:rsidR="00E6086B" w:rsidRDefault="00E6086B"/>
    <w:sectPr w:rsidR="00E608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571857"/>
    <w:multiLevelType w:val="hybridMultilevel"/>
    <w:tmpl w:val="DB9EDE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2"/>
    <w:compatSetting w:name="useWord2013TrackBottomHyphenation" w:uri="http://schemas.microsoft.com/office/word" w:val="0"/>
  </w:compat>
  <w:rsids>
    <w:rsidRoot w:val="00D03319"/>
    <w:rsid w:val="00254CB7"/>
    <w:rsid w:val="00321886"/>
    <w:rsid w:val="005E35B5"/>
    <w:rsid w:val="0063236B"/>
    <w:rsid w:val="007C15B1"/>
    <w:rsid w:val="007C268A"/>
    <w:rsid w:val="00BD7C04"/>
    <w:rsid w:val="00CD68EC"/>
    <w:rsid w:val="00D03319"/>
    <w:rsid w:val="00E6086B"/>
    <w:rsid w:val="00F527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571B7"/>
  <w15:chartTrackingRefBased/>
  <w15:docId w15:val="{83051F25-B2D7-48ED-8AB3-D1B421557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3236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36B"/>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63236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321886"/>
    <w:pPr>
      <w:ind w:left="720"/>
      <w:contextualSpacing/>
    </w:pPr>
  </w:style>
  <w:style w:type="character" w:styleId="Emphasis">
    <w:name w:val="Emphasis"/>
    <w:basedOn w:val="DefaultParagraphFont"/>
    <w:uiPriority w:val="20"/>
    <w:qFormat/>
    <w:rsid w:val="00E6086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8243435">
      <w:bodyDiv w:val="1"/>
      <w:marLeft w:val="0"/>
      <w:marRight w:val="0"/>
      <w:marTop w:val="0"/>
      <w:marBottom w:val="0"/>
      <w:divBdr>
        <w:top w:val="none" w:sz="0" w:space="0" w:color="auto"/>
        <w:left w:val="none" w:sz="0" w:space="0" w:color="auto"/>
        <w:bottom w:val="none" w:sz="0" w:space="0" w:color="auto"/>
        <w:right w:val="none" w:sz="0" w:space="0" w:color="auto"/>
      </w:divBdr>
    </w:div>
    <w:div w:id="1084179478">
      <w:bodyDiv w:val="1"/>
      <w:marLeft w:val="0"/>
      <w:marRight w:val="0"/>
      <w:marTop w:val="0"/>
      <w:marBottom w:val="0"/>
      <w:divBdr>
        <w:top w:val="none" w:sz="0" w:space="0" w:color="auto"/>
        <w:left w:val="none" w:sz="0" w:space="0" w:color="auto"/>
        <w:bottom w:val="none" w:sz="0" w:space="0" w:color="auto"/>
        <w:right w:val="none" w:sz="0" w:space="0" w:color="auto"/>
      </w:divBdr>
    </w:div>
    <w:div w:id="1691686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157</TotalTime>
  <Pages>4</Pages>
  <Words>1209</Words>
  <Characters>6894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Tahsin</dc:creator>
  <cp:keywords/>
  <dc:description/>
  <cp:lastModifiedBy>Tahsin</cp:lastModifiedBy>
  <cp:revision>10</cp:revision>
  <dcterms:created xsi:type="dcterms:W3CDTF">2025-11-10T15:43:00Z</dcterms:created>
  <dcterms:modified xsi:type="dcterms:W3CDTF">2025-11-11T07:44:00Z</dcterms:modified>
</cp:coreProperties>
</file>