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80"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Threat Hunting in the Healthcare Sector using MITRE ATT&amp;CK</w:t>
      </w:r>
    </w:p>
    <w:p w:rsidR="00000000" w:rsidDel="00000000" w:rsidP="00000000" w:rsidRDefault="00000000" w:rsidRPr="00000000" w14:paraId="00000002">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Overview</w:t>
      </w:r>
    </w:p>
    <w:p w:rsidR="00000000" w:rsidDel="00000000" w:rsidP="00000000" w:rsidRDefault="00000000" w:rsidRPr="00000000" w14:paraId="00000003">
      <w:pPr>
        <w:widowControl w:val="1"/>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focuses on </w:t>
      </w:r>
      <w:r w:rsidDel="00000000" w:rsidR="00000000" w:rsidRPr="00000000">
        <w:rPr>
          <w:rFonts w:ascii="Calibri" w:cs="Calibri" w:eastAsia="Calibri" w:hAnsi="Calibri"/>
          <w:b w:val="1"/>
          <w:sz w:val="24"/>
          <w:szCs w:val="24"/>
          <w:rtl w:val="0"/>
        </w:rPr>
        <w:t xml:space="preserve">proactive threat hunting</w:t>
      </w:r>
      <w:r w:rsidDel="00000000" w:rsidR="00000000" w:rsidRPr="00000000">
        <w:rPr>
          <w:rFonts w:ascii="Calibri" w:cs="Calibri" w:eastAsia="Calibri" w:hAnsi="Calibri"/>
          <w:sz w:val="24"/>
          <w:szCs w:val="24"/>
          <w:rtl w:val="0"/>
        </w:rPr>
        <w:t xml:space="preserve"> within the </w:t>
      </w:r>
      <w:r w:rsidDel="00000000" w:rsidR="00000000" w:rsidRPr="00000000">
        <w:rPr>
          <w:rFonts w:ascii="Calibri" w:cs="Calibri" w:eastAsia="Calibri" w:hAnsi="Calibri"/>
          <w:b w:val="1"/>
          <w:sz w:val="24"/>
          <w:szCs w:val="24"/>
          <w:rtl w:val="0"/>
        </w:rPr>
        <w:t xml:space="preserve">healthcare industry</w:t>
      </w:r>
      <w:r w:rsidDel="00000000" w:rsidR="00000000" w:rsidRPr="00000000">
        <w:rPr>
          <w:rFonts w:ascii="Calibri" w:cs="Calibri" w:eastAsia="Calibri" w:hAnsi="Calibri"/>
          <w:sz w:val="24"/>
          <w:szCs w:val="24"/>
          <w:rtl w:val="0"/>
        </w:rPr>
        <w:t xml:space="preserve">, leveraging the </w:t>
      </w:r>
      <w:r w:rsidDel="00000000" w:rsidR="00000000" w:rsidRPr="00000000">
        <w:rPr>
          <w:rFonts w:ascii="Calibri" w:cs="Calibri" w:eastAsia="Calibri" w:hAnsi="Calibri"/>
          <w:b w:val="1"/>
          <w:sz w:val="24"/>
          <w:szCs w:val="24"/>
          <w:rtl w:val="0"/>
        </w:rPr>
        <w:t xml:space="preserve">MITRE ATT&amp;CK framework</w:t>
      </w:r>
      <w:r w:rsidDel="00000000" w:rsidR="00000000" w:rsidRPr="00000000">
        <w:rPr>
          <w:rFonts w:ascii="Calibri" w:cs="Calibri" w:eastAsia="Calibri" w:hAnsi="Calibri"/>
          <w:sz w:val="24"/>
          <w:szCs w:val="24"/>
          <w:rtl w:val="0"/>
        </w:rPr>
        <w:t xml:space="preserve"> to identify and analyze Advanced Persistent Threat (APT) groups targeting the sector.</w:t>
      </w:r>
    </w:p>
    <w:p w:rsidR="00000000" w:rsidDel="00000000" w:rsidP="00000000" w:rsidRDefault="00000000" w:rsidRPr="00000000" w14:paraId="00000004">
      <w:pPr>
        <w:widowControl w:val="1"/>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was to:</w:t>
      </w:r>
    </w:p>
    <w:p w:rsidR="00000000" w:rsidDel="00000000" w:rsidP="00000000" w:rsidRDefault="00000000" w:rsidRPr="00000000" w14:paraId="00000005">
      <w:pPr>
        <w:widowControl w:val="1"/>
        <w:numPr>
          <w:ilvl w:val="0"/>
          <w:numId w:val="8"/>
        </w:numPr>
        <w:spacing w:after="0" w:before="280" w:line="240" w:lineRule="auto"/>
        <w:ind w:left="720" w:hanging="360"/>
        <w:rPr/>
      </w:pPr>
      <w:r w:rsidDel="00000000" w:rsidR="00000000" w:rsidRPr="00000000">
        <w:rPr>
          <w:rFonts w:ascii="Calibri" w:cs="Calibri" w:eastAsia="Calibri" w:hAnsi="Calibri"/>
          <w:sz w:val="24"/>
          <w:szCs w:val="24"/>
          <w:rtl w:val="0"/>
        </w:rPr>
        <w:t xml:space="preserve">Identify healthcare-targeted APTs.</w:t>
      </w:r>
    </w:p>
    <w:p w:rsidR="00000000" w:rsidDel="00000000" w:rsidP="00000000" w:rsidRDefault="00000000" w:rsidRPr="00000000" w14:paraId="00000006">
      <w:pPr>
        <w:widowControl w:val="1"/>
        <w:numPr>
          <w:ilvl w:val="0"/>
          <w:numId w:val="8"/>
        </w:numPr>
        <w:spacing w:after="0" w:before="0" w:line="240" w:lineRule="auto"/>
        <w:ind w:left="720" w:hanging="360"/>
        <w:rPr/>
      </w:pPr>
      <w:r w:rsidDel="00000000" w:rsidR="00000000" w:rsidRPr="00000000">
        <w:rPr>
          <w:rFonts w:ascii="Calibri" w:cs="Calibri" w:eastAsia="Calibri" w:hAnsi="Calibri"/>
          <w:sz w:val="24"/>
          <w:szCs w:val="24"/>
          <w:rtl w:val="0"/>
        </w:rPr>
        <w:t xml:space="preserve">Analyze their </w:t>
      </w:r>
      <w:r w:rsidDel="00000000" w:rsidR="00000000" w:rsidRPr="00000000">
        <w:rPr>
          <w:rFonts w:ascii="Calibri" w:cs="Calibri" w:eastAsia="Calibri" w:hAnsi="Calibri"/>
          <w:b w:val="1"/>
          <w:sz w:val="24"/>
          <w:szCs w:val="24"/>
          <w:rtl w:val="0"/>
        </w:rPr>
        <w:t xml:space="preserve">Tactics, Techniques, and Procedures (TTPs)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widowControl w:val="1"/>
        <w:numPr>
          <w:ilvl w:val="0"/>
          <w:numId w:val="8"/>
        </w:numPr>
        <w:spacing w:after="0" w:before="0" w:line="240" w:lineRule="auto"/>
        <w:ind w:left="720" w:hanging="360"/>
        <w:rPr/>
      </w:pPr>
      <w:r w:rsidDel="00000000" w:rsidR="00000000" w:rsidRPr="00000000">
        <w:rPr>
          <w:rFonts w:ascii="Calibri" w:cs="Calibri" w:eastAsia="Calibri" w:hAnsi="Calibri"/>
          <w:sz w:val="24"/>
          <w:szCs w:val="24"/>
          <w:rtl w:val="0"/>
        </w:rPr>
        <w:t xml:space="preserve">Visualize the threat landscape using </w:t>
      </w:r>
      <w:r w:rsidDel="00000000" w:rsidR="00000000" w:rsidRPr="00000000">
        <w:rPr>
          <w:rFonts w:ascii="Calibri" w:cs="Calibri" w:eastAsia="Calibri" w:hAnsi="Calibri"/>
          <w:b w:val="1"/>
          <w:sz w:val="24"/>
          <w:szCs w:val="24"/>
          <w:rtl w:val="0"/>
        </w:rPr>
        <w:t xml:space="preserve">MITRE Navigator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widowControl w:val="1"/>
        <w:numPr>
          <w:ilvl w:val="0"/>
          <w:numId w:val="8"/>
        </w:numPr>
        <w:spacing w:after="280" w:before="0" w:line="240" w:lineRule="auto"/>
        <w:ind w:left="720" w:hanging="360"/>
        <w:rPr/>
      </w:pPr>
      <w:r w:rsidDel="00000000" w:rsidR="00000000" w:rsidRPr="00000000">
        <w:rPr>
          <w:rFonts w:ascii="Calibri" w:cs="Calibri" w:eastAsia="Calibri" w:hAnsi="Calibri"/>
          <w:sz w:val="24"/>
          <w:szCs w:val="24"/>
          <w:rtl w:val="0"/>
        </w:rPr>
        <w:t xml:space="preserve">Compare APTs to find common attack vectors.</w:t>
      </w:r>
    </w:p>
    <w:p w:rsidR="00000000" w:rsidDel="00000000" w:rsidP="00000000" w:rsidRDefault="00000000" w:rsidRPr="00000000" w14:paraId="00000009">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024438" cy="247195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4438" cy="2471959"/>
                    </a:xfrm>
                    <a:prstGeom prst="rect"/>
                    <a:ln/>
                  </pic:spPr>
                </pic:pic>
              </a:graphicData>
            </a:graphic>
          </wp:inline>
        </w:drawing>
      </w:r>
      <w:r w:rsidDel="00000000" w:rsidR="00000000" w:rsidRPr="00000000">
        <w:rPr>
          <w:rFonts w:ascii="Calibri" w:cs="Calibri" w:eastAsia="Calibri" w:hAnsi="Calibri"/>
          <w:b w:val="1"/>
          <w:sz w:val="36"/>
          <w:szCs w:val="36"/>
          <w:rtl w:val="0"/>
        </w:rPr>
        <w:t xml:space="preserve">Objectives</w:t>
      </w:r>
    </w:p>
    <w:p w:rsidR="00000000" w:rsidDel="00000000" w:rsidP="00000000" w:rsidRDefault="00000000" w:rsidRPr="00000000" w14:paraId="0000000A">
      <w:pPr>
        <w:widowControl w:val="1"/>
        <w:numPr>
          <w:ilvl w:val="0"/>
          <w:numId w:val="9"/>
        </w:numP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 the MITRE ATT&amp;CK framework and its application to real-world threat hunting.</w:t>
      </w:r>
    </w:p>
    <w:p w:rsidR="00000000" w:rsidDel="00000000" w:rsidP="00000000" w:rsidRDefault="00000000" w:rsidRPr="00000000" w14:paraId="0000000B">
      <w:pPr>
        <w:widowControl w:val="1"/>
        <w:numPr>
          <w:ilvl w:val="0"/>
          <w:numId w:val="9"/>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APTs targeting the healthcare sector using SOCRadar Labs.</w:t>
      </w:r>
    </w:p>
    <w:p w:rsidR="00000000" w:rsidDel="00000000" w:rsidP="00000000" w:rsidRDefault="00000000" w:rsidRPr="00000000" w14:paraId="0000000C">
      <w:pPr>
        <w:widowControl w:val="1"/>
        <w:numPr>
          <w:ilvl w:val="0"/>
          <w:numId w:val="9"/>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identified APTs to relevant TTPs in MITRE ATT&amp;CK Navigator.</w:t>
      </w:r>
    </w:p>
    <w:p w:rsidR="00000000" w:rsidDel="00000000" w:rsidP="00000000" w:rsidRDefault="00000000" w:rsidRPr="00000000" w14:paraId="0000000D">
      <w:pPr>
        <w:widowControl w:val="1"/>
        <w:numPr>
          <w:ilvl w:val="0"/>
          <w:numId w:val="9"/>
        </w:numP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a comparative analysis to highlight overlapping attack patterns.</w:t>
      </w:r>
    </w:p>
    <w:p w:rsidR="00000000" w:rsidDel="00000000" w:rsidP="00000000" w:rsidRDefault="00000000" w:rsidRPr="00000000" w14:paraId="0000000E">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Tools &amp; Resources</w:t>
      </w:r>
    </w:p>
    <w:p w:rsidR="00000000" w:rsidDel="00000000" w:rsidP="00000000" w:rsidRDefault="00000000" w:rsidRPr="00000000" w14:paraId="0000000F">
      <w:pPr>
        <w:widowControl w:val="1"/>
        <w:numPr>
          <w:ilvl w:val="0"/>
          <w:numId w:val="1"/>
        </w:numPr>
        <w:spacing w:after="0" w:before="280" w:line="240" w:lineRule="auto"/>
        <w:ind w:left="720" w:hanging="360"/>
        <w:rPr/>
      </w:pPr>
      <w:r w:rsidDel="00000000" w:rsidR="00000000" w:rsidRPr="00000000">
        <w:rPr>
          <w:rFonts w:ascii="Calibri" w:cs="Calibri" w:eastAsia="Calibri" w:hAnsi="Calibri"/>
          <w:b w:val="1"/>
          <w:sz w:val="24"/>
          <w:szCs w:val="24"/>
          <w:rtl w:val="0"/>
        </w:rPr>
        <w:t xml:space="preserve">SOCRadar Labs</w:t>
      </w:r>
      <w:r w:rsidDel="00000000" w:rsidR="00000000" w:rsidRPr="00000000">
        <w:rPr>
          <w:rFonts w:ascii="Calibri" w:cs="Calibri" w:eastAsia="Calibri" w:hAnsi="Calibri"/>
          <w:sz w:val="24"/>
          <w:szCs w:val="24"/>
          <w:rtl w:val="0"/>
        </w:rPr>
        <w:t xml:space="preserve"> – For retrieving healthcare-specific APT threat intelligence.</w:t>
      </w:r>
    </w:p>
    <w:p w:rsidR="00000000" w:rsidDel="00000000" w:rsidP="00000000" w:rsidRDefault="00000000" w:rsidRPr="00000000" w14:paraId="00000010">
      <w:pPr>
        <w:widowControl w:val="1"/>
        <w:numPr>
          <w:ilvl w:val="0"/>
          <w:numId w:val="1"/>
        </w:numPr>
        <w:spacing w:after="0" w:before="0" w:line="240" w:lineRule="auto"/>
        <w:ind w:left="720" w:hanging="360"/>
        <w:rPr/>
      </w:pPr>
      <w:r w:rsidDel="00000000" w:rsidR="00000000" w:rsidRPr="00000000">
        <w:rPr>
          <w:rFonts w:ascii="Calibri" w:cs="Calibri" w:eastAsia="Calibri" w:hAnsi="Calibri"/>
          <w:b w:val="1"/>
          <w:sz w:val="24"/>
          <w:szCs w:val="24"/>
          <w:rtl w:val="0"/>
        </w:rPr>
        <w:t xml:space="preserve">MITRE ATT&amp;CK Navigator</w:t>
      </w:r>
      <w:r w:rsidDel="00000000" w:rsidR="00000000" w:rsidRPr="00000000">
        <w:rPr>
          <w:rFonts w:ascii="Calibri" w:cs="Calibri" w:eastAsia="Calibri" w:hAnsi="Calibri"/>
          <w:sz w:val="24"/>
          <w:szCs w:val="24"/>
          <w:rtl w:val="0"/>
        </w:rPr>
        <w:t xml:space="preserve"> – For mapping APT TTPs.</w:t>
      </w:r>
    </w:p>
    <w:p w:rsidR="00000000" w:rsidDel="00000000" w:rsidP="00000000" w:rsidRDefault="00000000" w:rsidRPr="00000000" w14:paraId="00000011">
      <w:pPr>
        <w:widowControl w:val="1"/>
        <w:numPr>
          <w:ilvl w:val="0"/>
          <w:numId w:val="1"/>
        </w:numPr>
        <w:spacing w:after="0" w:before="0" w:line="240" w:lineRule="auto"/>
        <w:ind w:left="720" w:hanging="360"/>
        <w:rPr/>
      </w:pPr>
      <w:r w:rsidDel="00000000" w:rsidR="00000000" w:rsidRPr="00000000">
        <w:rPr>
          <w:rFonts w:ascii="Calibri" w:cs="Calibri" w:eastAsia="Calibri" w:hAnsi="Calibri"/>
          <w:b w:val="1"/>
          <w:sz w:val="24"/>
          <w:szCs w:val="24"/>
          <w:rtl w:val="0"/>
        </w:rPr>
        <w:t xml:space="preserve">MITRE ATT&amp;CK Framework</w:t>
      </w:r>
      <w:r w:rsidDel="00000000" w:rsidR="00000000" w:rsidRPr="00000000">
        <w:rPr>
          <w:rFonts w:ascii="Calibri" w:cs="Calibri" w:eastAsia="Calibri" w:hAnsi="Calibri"/>
          <w:sz w:val="24"/>
          <w:szCs w:val="24"/>
          <w:rtl w:val="0"/>
        </w:rPr>
        <w:t xml:space="preserve"> – For structured adversary behavior taxonomy.</w:t>
      </w:r>
    </w:p>
    <w:p w:rsidR="00000000" w:rsidDel="00000000" w:rsidP="00000000" w:rsidRDefault="00000000" w:rsidRPr="00000000" w14:paraId="00000012">
      <w:pPr>
        <w:widowControl w:val="1"/>
        <w:numPr>
          <w:ilvl w:val="0"/>
          <w:numId w:val="1"/>
        </w:numPr>
        <w:spacing w:after="280" w:before="0" w:line="240" w:lineRule="auto"/>
        <w:ind w:left="720" w:hanging="360"/>
        <w:rPr/>
      </w:pPr>
      <w:r w:rsidDel="00000000" w:rsidR="00000000" w:rsidRPr="00000000">
        <w:rPr>
          <w:rFonts w:ascii="Calibri" w:cs="Calibri" w:eastAsia="Calibri" w:hAnsi="Calibri"/>
          <w:b w:val="1"/>
          <w:sz w:val="24"/>
          <w:szCs w:val="24"/>
          <w:rtl w:val="0"/>
        </w:rPr>
        <w:t xml:space="preserve">OSINT Research</w:t>
      </w:r>
      <w:r w:rsidDel="00000000" w:rsidR="00000000" w:rsidRPr="00000000">
        <w:rPr>
          <w:rFonts w:ascii="Calibri" w:cs="Calibri" w:eastAsia="Calibri" w:hAnsi="Calibri"/>
          <w:sz w:val="24"/>
          <w:szCs w:val="24"/>
          <w:rtl w:val="0"/>
        </w:rPr>
        <w:t xml:space="preserve"> – To cross-check TTP details from open sources.</w:t>
      </w:r>
      <w:r w:rsidDel="00000000" w:rsidR="00000000" w:rsidRPr="00000000">
        <w:rPr>
          <w:rFonts w:ascii="Calibri" w:cs="Calibri" w:eastAsia="Calibri" w:hAnsi="Calibri"/>
          <w:b w:val="1"/>
          <w:sz w:val="36"/>
          <w:szCs w:val="36"/>
        </w:rPr>
        <w:drawing>
          <wp:inline distB="114300" distT="114300" distL="114300" distR="114300">
            <wp:extent cx="5943600" cy="2857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Steps</w:t>
      </w:r>
    </w:p>
    <w:p w:rsidR="00000000" w:rsidDel="00000000" w:rsidP="00000000" w:rsidRDefault="00000000" w:rsidRPr="00000000" w14:paraId="00000014">
      <w:pPr>
        <w:widowControl w:val="1"/>
        <w:spacing w:after="280" w:before="28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1. Understanding the MITRE ATT&amp;CK Framework</w:t>
      </w:r>
    </w:p>
    <w:p w:rsidR="00000000" w:rsidDel="00000000" w:rsidP="00000000" w:rsidRDefault="00000000" w:rsidRPr="00000000" w14:paraId="00000015">
      <w:pPr>
        <w:widowControl w:val="1"/>
        <w:numPr>
          <w:ilvl w:val="0"/>
          <w:numId w:val="2"/>
        </w:numPr>
        <w:spacing w:after="0" w:before="280" w:line="240" w:lineRule="auto"/>
        <w:ind w:left="720" w:hanging="360"/>
        <w:rPr/>
      </w:pPr>
      <w:r w:rsidDel="00000000" w:rsidR="00000000" w:rsidRPr="00000000">
        <w:rPr>
          <w:rFonts w:ascii="Calibri" w:cs="Calibri" w:eastAsia="Calibri" w:hAnsi="Calibri"/>
          <w:sz w:val="24"/>
          <w:szCs w:val="24"/>
          <w:rtl w:val="0"/>
        </w:rPr>
        <w:t xml:space="preserve">Studied the MITRE ATT&amp;CK framework structure:</w:t>
      </w:r>
    </w:p>
    <w:p w:rsidR="00000000" w:rsidDel="00000000" w:rsidP="00000000" w:rsidRDefault="00000000" w:rsidRPr="00000000" w14:paraId="00000016">
      <w:pPr>
        <w:widowControl w:val="1"/>
        <w:numPr>
          <w:ilvl w:val="1"/>
          <w:numId w:val="2"/>
        </w:numPr>
        <w:spacing w:after="0" w:before="0" w:line="240" w:lineRule="auto"/>
        <w:ind w:left="1440" w:hanging="360"/>
        <w:rPr/>
      </w:pPr>
      <w:r w:rsidDel="00000000" w:rsidR="00000000" w:rsidRPr="00000000">
        <w:rPr>
          <w:rFonts w:ascii="Calibri" w:cs="Calibri" w:eastAsia="Calibri" w:hAnsi="Calibri"/>
          <w:b w:val="1"/>
          <w:sz w:val="24"/>
          <w:szCs w:val="24"/>
          <w:rtl w:val="0"/>
        </w:rPr>
        <w:t xml:space="preserve">Tactics</w:t>
      </w:r>
      <w:r w:rsidDel="00000000" w:rsidR="00000000" w:rsidRPr="00000000">
        <w:rPr>
          <w:rFonts w:ascii="Calibri" w:cs="Calibri" w:eastAsia="Calibri" w:hAnsi="Calibri"/>
          <w:sz w:val="24"/>
          <w:szCs w:val="24"/>
          <w:rtl w:val="0"/>
        </w:rPr>
        <w:t xml:space="preserve"> – The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of an attack (e.g., Initial Access, Persistence, Defense Evasion).</w:t>
      </w:r>
    </w:p>
    <w:p w:rsidR="00000000" w:rsidDel="00000000" w:rsidP="00000000" w:rsidRDefault="00000000" w:rsidRPr="00000000" w14:paraId="00000017">
      <w:pPr>
        <w:widowControl w:val="1"/>
        <w:numPr>
          <w:ilvl w:val="1"/>
          <w:numId w:val="2"/>
        </w:numPr>
        <w:spacing w:after="0" w:before="0" w:line="240" w:lineRule="auto"/>
        <w:ind w:left="1440" w:hanging="360"/>
        <w:rPr/>
      </w:pPr>
      <w:r w:rsidDel="00000000" w:rsidR="00000000" w:rsidRPr="00000000">
        <w:rPr>
          <w:rFonts w:ascii="Calibri" w:cs="Calibri" w:eastAsia="Calibri" w:hAnsi="Calibri"/>
          <w:b w:val="1"/>
          <w:sz w:val="24"/>
          <w:szCs w:val="24"/>
          <w:rtl w:val="0"/>
        </w:rPr>
        <w:t xml:space="preserve">Techniques</w:t>
      </w:r>
      <w:r w:rsidDel="00000000" w:rsidR="00000000" w:rsidRPr="00000000">
        <w:rPr>
          <w:rFonts w:ascii="Calibri" w:cs="Calibri" w:eastAsia="Calibri" w:hAnsi="Calibri"/>
          <w:sz w:val="24"/>
          <w:szCs w:val="24"/>
          <w:rtl w:val="0"/>
        </w:rPr>
        <w:t xml:space="preserve"> – The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of an attack (e.g., phishing, credential dumping).</w:t>
      </w:r>
    </w:p>
    <w:p w:rsidR="00000000" w:rsidDel="00000000" w:rsidP="00000000" w:rsidRDefault="00000000" w:rsidRPr="00000000" w14:paraId="00000018">
      <w:pPr>
        <w:widowControl w:val="1"/>
        <w:numPr>
          <w:ilvl w:val="1"/>
          <w:numId w:val="2"/>
        </w:numPr>
        <w:spacing w:after="280" w:before="0" w:line="240" w:lineRule="auto"/>
        <w:ind w:left="1440" w:hanging="360"/>
        <w:rPr/>
      </w:pPr>
      <w:r w:rsidDel="00000000" w:rsidR="00000000" w:rsidRPr="00000000">
        <w:rPr>
          <w:rFonts w:ascii="Calibri" w:cs="Calibri" w:eastAsia="Calibri" w:hAnsi="Calibri"/>
          <w:b w:val="1"/>
          <w:sz w:val="24"/>
          <w:szCs w:val="24"/>
          <w:rtl w:val="0"/>
        </w:rPr>
        <w:t xml:space="preserve">Procedures</w:t>
      </w:r>
      <w:r w:rsidDel="00000000" w:rsidR="00000000" w:rsidRPr="00000000">
        <w:rPr>
          <w:rFonts w:ascii="Calibri" w:cs="Calibri" w:eastAsia="Calibri" w:hAnsi="Calibri"/>
          <w:sz w:val="24"/>
          <w:szCs w:val="24"/>
          <w:rtl w:val="0"/>
        </w:rPr>
        <w:t xml:space="preserve"> – Real-world implementations of techniques.</w:t>
      </w:r>
    </w:p>
    <w:p w:rsidR="00000000" w:rsidDel="00000000" w:rsidP="00000000" w:rsidRDefault="00000000" w:rsidRPr="00000000" w14:paraId="00000019">
      <w:pPr>
        <w:widowControl w:val="1"/>
        <w:spacing w:after="280" w:before="28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2. Research APTs Peculiar to the Sector</w:t>
      </w:r>
    </w:p>
    <w:p w:rsidR="00000000" w:rsidDel="00000000" w:rsidP="00000000" w:rsidRDefault="00000000" w:rsidRPr="00000000" w14:paraId="0000001A">
      <w:pPr>
        <w:widowControl w:val="1"/>
        <w:numPr>
          <w:ilvl w:val="0"/>
          <w:numId w:val="3"/>
        </w:numPr>
        <w:spacing w:after="0" w:before="280" w:line="240" w:lineRule="auto"/>
        <w:ind w:left="720" w:hanging="360"/>
        <w:rPr/>
      </w:pPr>
      <w:r w:rsidDel="00000000" w:rsidR="00000000" w:rsidRPr="00000000">
        <w:rPr>
          <w:rFonts w:ascii="Calibri" w:cs="Calibri" w:eastAsia="Calibri" w:hAnsi="Calibri"/>
          <w:sz w:val="24"/>
          <w:szCs w:val="24"/>
          <w:rtl w:val="0"/>
        </w:rPr>
        <w:t xml:space="preserve">Used </w:t>
      </w:r>
      <w:hyperlink r:id="rId8">
        <w:r w:rsidDel="00000000" w:rsidR="00000000" w:rsidRPr="00000000">
          <w:rPr>
            <w:rFonts w:ascii="Calibri" w:cs="Calibri" w:eastAsia="Calibri" w:hAnsi="Calibri"/>
            <w:color w:val="0000ff"/>
            <w:sz w:val="24"/>
            <w:szCs w:val="24"/>
            <w:u w:val="single"/>
            <w:rtl w:val="0"/>
          </w:rPr>
          <w:t xml:space="preserve">SOCRadar Labs</w:t>
        </w:r>
      </w:hyperlink>
      <w:r w:rsidDel="00000000" w:rsidR="00000000" w:rsidRPr="00000000">
        <w:rPr>
          <w:rFonts w:ascii="Calibri" w:cs="Calibri" w:eastAsia="Calibri" w:hAnsi="Calibri"/>
          <w:sz w:val="24"/>
          <w:szCs w:val="24"/>
          <w:rtl w:val="0"/>
        </w:rPr>
        <w:t xml:space="preserve"> to identify </w:t>
      </w:r>
      <w:r w:rsidDel="00000000" w:rsidR="00000000" w:rsidRPr="00000000">
        <w:rPr>
          <w:rFonts w:ascii="Calibri" w:cs="Calibri" w:eastAsia="Calibri" w:hAnsi="Calibri"/>
          <w:b w:val="1"/>
          <w:sz w:val="24"/>
          <w:szCs w:val="24"/>
          <w:rtl w:val="0"/>
        </w:rPr>
        <w:t xml:space="preserve">APT groups</w:t>
      </w:r>
      <w:r w:rsidDel="00000000" w:rsidR="00000000" w:rsidRPr="00000000">
        <w:rPr>
          <w:rFonts w:ascii="Calibri" w:cs="Calibri" w:eastAsia="Calibri" w:hAnsi="Calibri"/>
          <w:sz w:val="24"/>
          <w:szCs w:val="24"/>
          <w:rtl w:val="0"/>
        </w:rPr>
        <w:t xml:space="preserve"> targeting healthcare.</w:t>
      </w:r>
    </w:p>
    <w:p w:rsidR="00000000" w:rsidDel="00000000" w:rsidP="00000000" w:rsidRDefault="00000000" w:rsidRPr="00000000" w14:paraId="0000001B">
      <w:pPr>
        <w:widowControl w:val="1"/>
        <w:numPr>
          <w:ilvl w:val="0"/>
          <w:numId w:val="3"/>
        </w:numPr>
        <w:spacing w:after="0" w:before="0" w:line="240" w:lineRule="auto"/>
        <w:ind w:left="720" w:hanging="360"/>
        <w:rPr/>
      </w:pPr>
      <w:r w:rsidDel="00000000" w:rsidR="00000000" w:rsidRPr="00000000">
        <w:rPr>
          <w:rFonts w:ascii="Calibri" w:cs="Calibri" w:eastAsia="Calibri" w:hAnsi="Calibri"/>
          <w:sz w:val="24"/>
          <w:szCs w:val="24"/>
          <w:rtl w:val="0"/>
        </w:rPr>
        <w:t xml:space="preserve">Found the following:</w:t>
      </w:r>
      <w:r w:rsidDel="00000000" w:rsidR="00000000" w:rsidRPr="00000000">
        <w:rPr>
          <w:rFonts w:ascii="Calibri" w:cs="Calibri" w:eastAsia="Calibri" w:hAnsi="Calibri"/>
          <w:b w:val="1"/>
          <w:sz w:val="36"/>
          <w:szCs w:val="36"/>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numPr>
          <w:ilvl w:val="1"/>
          <w:numId w:val="3"/>
        </w:numPr>
        <w:spacing w:after="0" w:before="0" w:line="240" w:lineRule="auto"/>
        <w:ind w:left="1440" w:hanging="360"/>
        <w:rPr/>
      </w:pPr>
      <w:r w:rsidDel="00000000" w:rsidR="00000000" w:rsidRPr="00000000">
        <w:rPr>
          <w:rFonts w:ascii="Calibri" w:cs="Calibri" w:eastAsia="Calibri" w:hAnsi="Calibri"/>
          <w:b w:val="1"/>
          <w:sz w:val="24"/>
          <w:szCs w:val="24"/>
          <w:rtl w:val="0"/>
        </w:rPr>
        <w:t xml:space="preserve">APT41</w:t>
      </w:r>
      <w:r w:rsidDel="00000000" w:rsidR="00000000" w:rsidRPr="00000000">
        <w:rPr>
          <w:rFonts w:ascii="Calibri" w:cs="Calibri" w:eastAsia="Calibri" w:hAnsi="Calibri"/>
          <w:sz w:val="24"/>
          <w:szCs w:val="24"/>
          <w:rtl w:val="0"/>
        </w:rPr>
        <w:t xml:space="preserve"> – China-based cyber-espionage group.</w:t>
      </w:r>
    </w:p>
    <w:p w:rsidR="00000000" w:rsidDel="00000000" w:rsidP="00000000" w:rsidRDefault="00000000" w:rsidRPr="00000000" w14:paraId="0000001D">
      <w:pPr>
        <w:widowControl w:val="1"/>
        <w:numPr>
          <w:ilvl w:val="1"/>
          <w:numId w:val="3"/>
        </w:numPr>
        <w:spacing w:after="0" w:before="0" w:line="240" w:lineRule="auto"/>
        <w:ind w:left="1440" w:hanging="360"/>
        <w:rPr/>
      </w:pPr>
      <w:r w:rsidDel="00000000" w:rsidR="00000000" w:rsidRPr="00000000">
        <w:rPr>
          <w:rFonts w:ascii="Calibri" w:cs="Calibri" w:eastAsia="Calibri" w:hAnsi="Calibri"/>
          <w:b w:val="1"/>
          <w:sz w:val="24"/>
          <w:szCs w:val="24"/>
          <w:rtl w:val="0"/>
        </w:rPr>
        <w:t xml:space="preserve">APT10</w:t>
      </w:r>
      <w:r w:rsidDel="00000000" w:rsidR="00000000" w:rsidRPr="00000000">
        <w:rPr>
          <w:rFonts w:ascii="Calibri" w:cs="Calibri" w:eastAsia="Calibri" w:hAnsi="Calibri"/>
          <w:sz w:val="24"/>
          <w:szCs w:val="24"/>
          <w:rtl w:val="0"/>
        </w:rPr>
        <w:t xml:space="preserve"> – Menu Pass are known to have acted in association with the Chinese Ministry of State Security's (MSS) Tianjin State Security Bureau and worked for the Huaying Haitai Science and Technology Development Company.</w:t>
      </w:r>
    </w:p>
    <w:p w:rsidR="00000000" w:rsidDel="00000000" w:rsidP="00000000" w:rsidRDefault="00000000" w:rsidRPr="00000000" w14:paraId="0000001E">
      <w:pPr>
        <w:widowControl w:val="1"/>
        <w:numPr>
          <w:ilvl w:val="1"/>
          <w:numId w:val="3"/>
        </w:numPr>
        <w:spacing w:after="0" w:before="0" w:line="240" w:lineRule="auto"/>
        <w:ind w:left="1440" w:hanging="360"/>
        <w:rPr/>
      </w:pPr>
      <w:r w:rsidDel="00000000" w:rsidR="00000000" w:rsidRPr="00000000">
        <w:rPr>
          <w:rFonts w:ascii="Calibri" w:cs="Calibri" w:eastAsia="Calibri" w:hAnsi="Calibri"/>
          <w:b w:val="1"/>
          <w:sz w:val="24"/>
          <w:szCs w:val="24"/>
          <w:rtl w:val="0"/>
        </w:rPr>
        <w:t xml:space="preserve">APT18</w:t>
      </w:r>
      <w:r w:rsidDel="00000000" w:rsidR="00000000" w:rsidRPr="00000000">
        <w:rPr>
          <w:rFonts w:ascii="Calibri" w:cs="Calibri" w:eastAsia="Calibri" w:hAnsi="Calibri"/>
          <w:sz w:val="24"/>
          <w:szCs w:val="24"/>
          <w:rtl w:val="0"/>
        </w:rPr>
        <w:t xml:space="preserve"> – Suspected threat group that has operated since at least 2009 and has targeted a range of industries, including technology, manufacturing, human rights groups, government, and medical. </w:t>
      </w:r>
    </w:p>
    <w:p w:rsidR="00000000" w:rsidDel="00000000" w:rsidP="00000000" w:rsidRDefault="00000000" w:rsidRPr="00000000" w14:paraId="0000001F">
      <w:pPr>
        <w:widowControl w:val="1"/>
        <w:numPr>
          <w:ilvl w:val="1"/>
          <w:numId w:val="3"/>
        </w:numPr>
        <w:spacing w:after="280" w:before="0" w:line="240" w:lineRule="auto"/>
        <w:ind w:left="1440" w:hanging="360"/>
        <w:rPr/>
      </w:pPr>
      <w:r w:rsidDel="00000000" w:rsidR="00000000" w:rsidRPr="00000000">
        <w:rPr>
          <w:rFonts w:ascii="Calibri" w:cs="Calibri" w:eastAsia="Calibri" w:hAnsi="Calibri"/>
          <w:b w:val="1"/>
          <w:sz w:val="24"/>
          <w:szCs w:val="24"/>
          <w:rtl w:val="0"/>
        </w:rPr>
        <w:t xml:space="preserve">APT22</w:t>
      </w:r>
      <w:r w:rsidDel="00000000" w:rsidR="00000000" w:rsidRPr="00000000">
        <w:rPr>
          <w:rFonts w:ascii="Calibri" w:cs="Calibri" w:eastAsia="Calibri" w:hAnsi="Calibri"/>
          <w:sz w:val="24"/>
          <w:szCs w:val="24"/>
          <w:rtl w:val="0"/>
        </w:rPr>
        <w:t xml:space="preserve"> – Chinese cyber espionage group targeting multiple sectors including healthcare.</w:t>
      </w:r>
    </w:p>
    <w:p w:rsidR="00000000" w:rsidDel="00000000" w:rsidP="00000000" w:rsidRDefault="00000000" w:rsidRPr="00000000" w14:paraId="00000020">
      <w:pPr>
        <w:widowControl w:val="1"/>
        <w:spacing w:after="280" w:before="28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3. Highlight of the TTPs</w:t>
      </w:r>
    </w:p>
    <w:p w:rsidR="00000000" w:rsidDel="00000000" w:rsidP="00000000" w:rsidRDefault="00000000" w:rsidRPr="00000000" w14:paraId="00000021">
      <w:pPr>
        <w:widowControl w:val="1"/>
        <w:numPr>
          <w:ilvl w:val="0"/>
          <w:numId w:val="4"/>
        </w:numPr>
        <w:spacing w:after="0" w:before="280" w:line="240" w:lineRule="auto"/>
        <w:ind w:left="720" w:hanging="360"/>
        <w:rPr/>
      </w:pPr>
      <w:r w:rsidDel="00000000" w:rsidR="00000000" w:rsidRPr="00000000">
        <w:rPr>
          <w:rFonts w:ascii="Calibri" w:cs="Calibri" w:eastAsia="Calibri" w:hAnsi="Calibri"/>
          <w:sz w:val="24"/>
          <w:szCs w:val="24"/>
          <w:rtl w:val="0"/>
        </w:rPr>
        <w:t xml:space="preserve">For each APT, identified their key TTPs from MITRE:</w:t>
      </w:r>
    </w:p>
    <w:p w:rsidR="00000000" w:rsidDel="00000000" w:rsidP="00000000" w:rsidRDefault="00000000" w:rsidRPr="00000000" w14:paraId="00000022">
      <w:pPr>
        <w:widowControl w:val="1"/>
        <w:numPr>
          <w:ilvl w:val="1"/>
          <w:numId w:val="4"/>
        </w:numPr>
        <w:spacing w:after="0" w:before="0" w:line="240" w:lineRule="auto"/>
        <w:ind w:left="1440" w:hanging="360"/>
        <w:rPr/>
      </w:pPr>
      <w:r w:rsidDel="00000000" w:rsidR="00000000" w:rsidRPr="00000000">
        <w:rPr>
          <w:rFonts w:ascii="Calibri" w:cs="Calibri" w:eastAsia="Calibri" w:hAnsi="Calibri"/>
          <w:sz w:val="24"/>
          <w:szCs w:val="24"/>
          <w:rtl w:val="0"/>
        </w:rPr>
        <w:t xml:space="preserve">Example (APT41):</w:t>
      </w:r>
    </w:p>
    <w:p w:rsidR="00000000" w:rsidDel="00000000" w:rsidP="00000000" w:rsidRDefault="00000000" w:rsidRPr="00000000" w14:paraId="00000023">
      <w:pPr>
        <w:widowControl w:val="1"/>
        <w:numPr>
          <w:ilvl w:val="2"/>
          <w:numId w:val="4"/>
        </w:numPr>
        <w:spacing w:after="0" w:before="0" w:line="240" w:lineRule="auto"/>
        <w:ind w:left="2160" w:hanging="360"/>
        <w:rPr/>
      </w:pPr>
      <w:r w:rsidDel="00000000" w:rsidR="00000000" w:rsidRPr="00000000">
        <w:rPr>
          <w:rFonts w:ascii="Calibri" w:cs="Calibri" w:eastAsia="Calibri" w:hAnsi="Calibri"/>
          <w:sz w:val="24"/>
          <w:szCs w:val="24"/>
          <w:rtl w:val="0"/>
        </w:rPr>
        <w:t xml:space="preserve">T1078 – Valid Accounts</w:t>
      </w:r>
    </w:p>
    <w:p w:rsidR="00000000" w:rsidDel="00000000" w:rsidP="00000000" w:rsidRDefault="00000000" w:rsidRPr="00000000" w14:paraId="00000024">
      <w:pPr>
        <w:widowControl w:val="1"/>
        <w:numPr>
          <w:ilvl w:val="2"/>
          <w:numId w:val="4"/>
        </w:numPr>
        <w:spacing w:after="0" w:before="0" w:line="240" w:lineRule="auto"/>
        <w:ind w:left="2160" w:hanging="360"/>
        <w:rPr/>
      </w:pPr>
      <w:r w:rsidDel="00000000" w:rsidR="00000000" w:rsidRPr="00000000">
        <w:rPr>
          <w:rFonts w:ascii="Calibri" w:cs="Calibri" w:eastAsia="Calibri" w:hAnsi="Calibri"/>
          <w:sz w:val="24"/>
          <w:szCs w:val="24"/>
          <w:rtl w:val="0"/>
        </w:rPr>
        <w:t xml:space="preserve">T1059 – Command and Scripting Interpreter</w:t>
      </w:r>
    </w:p>
    <w:p w:rsidR="00000000" w:rsidDel="00000000" w:rsidP="00000000" w:rsidRDefault="00000000" w:rsidRPr="00000000" w14:paraId="00000025">
      <w:pPr>
        <w:widowControl w:val="1"/>
        <w:numPr>
          <w:ilvl w:val="2"/>
          <w:numId w:val="4"/>
        </w:numPr>
        <w:spacing w:after="280" w:before="0" w:line="240" w:lineRule="auto"/>
        <w:ind w:left="2160" w:hanging="360"/>
        <w:rPr/>
      </w:pPr>
      <w:r w:rsidDel="00000000" w:rsidR="00000000" w:rsidRPr="00000000">
        <w:rPr>
          <w:rFonts w:ascii="Calibri" w:cs="Calibri" w:eastAsia="Calibri" w:hAnsi="Calibri"/>
          <w:sz w:val="24"/>
          <w:szCs w:val="24"/>
          <w:rtl w:val="0"/>
        </w:rPr>
        <w:t xml:space="preserve">T1027 – Obfuscated Files or Information</w:t>
      </w:r>
    </w:p>
    <w:p w:rsidR="00000000" w:rsidDel="00000000" w:rsidP="00000000" w:rsidRDefault="00000000" w:rsidRPr="00000000" w14:paraId="00000026">
      <w:pPr>
        <w:widowControl w:val="1"/>
        <w:spacing w:after="280" w:before="28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4. Map APTs to TTPs using MITRE Navigator</w:t>
      </w:r>
    </w:p>
    <w:p w:rsidR="00000000" w:rsidDel="00000000" w:rsidP="00000000" w:rsidRDefault="00000000" w:rsidRPr="00000000" w14:paraId="00000027">
      <w:pPr>
        <w:widowControl w:val="1"/>
        <w:numPr>
          <w:ilvl w:val="0"/>
          <w:numId w:val="5"/>
        </w:numPr>
        <w:spacing w:after="0" w:before="280" w:line="240" w:lineRule="auto"/>
        <w:ind w:left="720" w:hanging="360"/>
        <w:rPr/>
      </w:pPr>
      <w:r w:rsidDel="00000000" w:rsidR="00000000" w:rsidRPr="00000000">
        <w:rPr>
          <w:rFonts w:ascii="Calibri" w:cs="Calibri" w:eastAsia="Calibri" w:hAnsi="Calibri"/>
          <w:sz w:val="24"/>
          <w:szCs w:val="24"/>
          <w:rtl w:val="0"/>
        </w:rPr>
        <w:t xml:space="preserve">Created </w:t>
      </w:r>
      <w:r w:rsidDel="00000000" w:rsidR="00000000" w:rsidRPr="00000000">
        <w:rPr>
          <w:rFonts w:ascii="Calibri" w:cs="Calibri" w:eastAsia="Calibri" w:hAnsi="Calibri"/>
          <w:b w:val="1"/>
          <w:sz w:val="24"/>
          <w:szCs w:val="24"/>
          <w:rtl w:val="0"/>
        </w:rPr>
        <w:t xml:space="preserve">individual layers</w:t>
      </w:r>
      <w:r w:rsidDel="00000000" w:rsidR="00000000" w:rsidRPr="00000000">
        <w:rPr>
          <w:rFonts w:ascii="Calibri" w:cs="Calibri" w:eastAsia="Calibri" w:hAnsi="Calibri"/>
          <w:sz w:val="24"/>
          <w:szCs w:val="24"/>
          <w:rtl w:val="0"/>
        </w:rPr>
        <w:t xml:space="preserve"> in MITRE Navigator for each APT.</w:t>
      </w:r>
    </w:p>
    <w:p w:rsidR="00000000" w:rsidDel="00000000" w:rsidP="00000000" w:rsidRDefault="00000000" w:rsidRPr="00000000" w14:paraId="00000028">
      <w:pPr>
        <w:widowControl w:val="1"/>
        <w:numPr>
          <w:ilvl w:val="0"/>
          <w:numId w:val="5"/>
        </w:numPr>
        <w:spacing w:after="0" w:before="0" w:line="240" w:lineRule="auto"/>
        <w:ind w:left="720" w:hanging="360"/>
        <w:rPr/>
      </w:pPr>
      <w:r w:rsidDel="00000000" w:rsidR="00000000" w:rsidRPr="00000000">
        <w:rPr>
          <w:rFonts w:ascii="Calibri" w:cs="Calibri" w:eastAsia="Calibri" w:hAnsi="Calibri"/>
          <w:sz w:val="24"/>
          <w:szCs w:val="24"/>
          <w:rtl w:val="0"/>
        </w:rPr>
        <w:t xml:space="preserve">Color-coded:</w:t>
      </w:r>
    </w:p>
    <w:p w:rsidR="00000000" w:rsidDel="00000000" w:rsidP="00000000" w:rsidRDefault="00000000" w:rsidRPr="00000000" w14:paraId="00000029">
      <w:pPr>
        <w:widowControl w:val="1"/>
        <w:numPr>
          <w:ilvl w:val="1"/>
          <w:numId w:val="5"/>
        </w:numPr>
        <w:spacing w:after="0" w:before="0" w:line="240" w:lineRule="auto"/>
        <w:ind w:left="1440" w:hanging="360"/>
        <w:rPr/>
      </w:pPr>
      <w:r w:rsidDel="00000000" w:rsidR="00000000" w:rsidRPr="00000000">
        <w:rPr>
          <w:rFonts w:ascii="Calibri" w:cs="Calibri" w:eastAsia="Calibri" w:hAnsi="Calibri"/>
          <w:sz w:val="24"/>
          <w:szCs w:val="24"/>
          <w:rtl w:val="0"/>
        </w:rPr>
        <w:t xml:space="preserve">Red – Techniques confirmed in public reports.</w:t>
      </w:r>
    </w:p>
    <w:p w:rsidR="00000000" w:rsidDel="00000000" w:rsidP="00000000" w:rsidRDefault="00000000" w:rsidRPr="00000000" w14:paraId="0000002A">
      <w:pPr>
        <w:widowControl w:val="1"/>
        <w:numPr>
          <w:ilvl w:val="1"/>
          <w:numId w:val="5"/>
        </w:numPr>
        <w:spacing w:after="0" w:before="0" w:line="240" w:lineRule="auto"/>
        <w:ind w:left="1440" w:hanging="360"/>
        <w:rPr/>
      </w:pPr>
      <w:r w:rsidDel="00000000" w:rsidR="00000000" w:rsidRPr="00000000">
        <w:rPr>
          <w:rFonts w:ascii="Calibri" w:cs="Calibri" w:eastAsia="Calibri" w:hAnsi="Calibri"/>
          <w:sz w:val="24"/>
          <w:szCs w:val="24"/>
          <w:rtl w:val="0"/>
        </w:rPr>
        <w:t xml:space="preserve">Orange – Techniques suspected but unconfirmed.</w:t>
      </w:r>
    </w:p>
    <w:p w:rsidR="00000000" w:rsidDel="00000000" w:rsidP="00000000" w:rsidRDefault="00000000" w:rsidRPr="00000000" w14:paraId="0000002B">
      <w:pPr>
        <w:widowControl w:val="1"/>
        <w:numPr>
          <w:ilvl w:val="1"/>
          <w:numId w:val="5"/>
        </w:numPr>
        <w:spacing w:after="280" w:before="0" w:line="240" w:lineRule="auto"/>
        <w:ind w:left="1440" w:hanging="360"/>
        <w:rPr/>
      </w:pPr>
      <w:r w:rsidDel="00000000" w:rsidR="00000000" w:rsidRPr="00000000">
        <w:rPr>
          <w:rFonts w:ascii="Calibri" w:cs="Calibri" w:eastAsia="Calibri" w:hAnsi="Calibri"/>
          <w:sz w:val="24"/>
          <w:szCs w:val="24"/>
          <w:rtl w:val="0"/>
        </w:rPr>
        <w:t xml:space="preserve">Green – Techniques with existing detection measures.</w:t>
      </w:r>
    </w:p>
    <w:p w:rsidR="00000000" w:rsidDel="00000000" w:rsidP="00000000" w:rsidRDefault="00000000" w:rsidRPr="00000000" w14:paraId="0000002C">
      <w:pPr>
        <w:widowControl w:val="1"/>
        <w:spacing w:after="280" w:before="280" w:line="24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5. Compare the APTs</w:t>
      </w:r>
    </w:p>
    <w:p w:rsidR="00000000" w:rsidDel="00000000" w:rsidP="00000000" w:rsidRDefault="00000000" w:rsidRPr="00000000" w14:paraId="0000002D">
      <w:pPr>
        <w:widowControl w:val="1"/>
        <w:numPr>
          <w:ilvl w:val="0"/>
          <w:numId w:val="6"/>
        </w:numPr>
        <w:spacing w:after="0" w:before="280" w:line="240" w:lineRule="auto"/>
        <w:ind w:left="720" w:hanging="360"/>
        <w:rPr/>
      </w:pPr>
      <w:r w:rsidDel="00000000" w:rsidR="00000000" w:rsidRPr="00000000">
        <w:rPr>
          <w:rFonts w:ascii="Calibri" w:cs="Calibri" w:eastAsia="Calibri" w:hAnsi="Calibri"/>
          <w:sz w:val="24"/>
          <w:szCs w:val="24"/>
          <w:rtl w:val="0"/>
        </w:rPr>
        <w:t xml:space="preserve">Imported all four APT layers into a </w:t>
      </w:r>
      <w:r w:rsidDel="00000000" w:rsidR="00000000" w:rsidRPr="00000000">
        <w:rPr>
          <w:rFonts w:ascii="Calibri" w:cs="Calibri" w:eastAsia="Calibri" w:hAnsi="Calibri"/>
          <w:b w:val="1"/>
          <w:sz w:val="24"/>
          <w:szCs w:val="24"/>
          <w:rtl w:val="0"/>
        </w:rPr>
        <w:t xml:space="preserve">combined Navigator view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widowControl w:val="1"/>
        <w:numPr>
          <w:ilvl w:val="0"/>
          <w:numId w:val="6"/>
        </w:numPr>
        <w:spacing w:after="0" w:before="0" w:line="240" w:lineRule="auto"/>
        <w:ind w:left="720" w:hanging="360"/>
        <w:rPr/>
      </w:pPr>
      <w:r w:rsidDel="00000000" w:rsidR="00000000" w:rsidRPr="00000000">
        <w:rPr>
          <w:rFonts w:ascii="Calibri" w:cs="Calibri" w:eastAsia="Calibri" w:hAnsi="Calibri"/>
          <w:sz w:val="24"/>
          <w:szCs w:val="24"/>
          <w:rtl w:val="0"/>
        </w:rPr>
        <w:t xml:space="preserve">Noted </w:t>
      </w:r>
      <w:r w:rsidDel="00000000" w:rsidR="00000000" w:rsidRPr="00000000">
        <w:rPr>
          <w:rFonts w:ascii="Calibri" w:cs="Calibri" w:eastAsia="Calibri" w:hAnsi="Calibri"/>
          <w:b w:val="1"/>
          <w:sz w:val="24"/>
          <w:szCs w:val="24"/>
          <w:rtl w:val="0"/>
        </w:rPr>
        <w:t xml:space="preserve">common techniques</w:t>
      </w:r>
      <w:r w:rsidDel="00000000" w:rsidR="00000000" w:rsidRPr="00000000">
        <w:rPr>
          <w:rFonts w:ascii="Calibri" w:cs="Calibri" w:eastAsia="Calibri" w:hAnsi="Calibri"/>
          <w:sz w:val="24"/>
          <w:szCs w:val="24"/>
          <w:rtl w:val="0"/>
        </w:rPr>
        <w:t xml:space="preserve"> across multiple APTs, such as:</w:t>
      </w:r>
    </w:p>
    <w:p w:rsidR="00000000" w:rsidDel="00000000" w:rsidP="00000000" w:rsidRDefault="00000000" w:rsidRPr="00000000" w14:paraId="0000002F">
      <w:pPr>
        <w:widowControl w:val="1"/>
        <w:numPr>
          <w:ilvl w:val="1"/>
          <w:numId w:val="6"/>
        </w:numPr>
        <w:spacing w:after="0" w:before="0" w:line="240" w:lineRule="auto"/>
        <w:ind w:left="1440" w:hanging="360"/>
        <w:rPr/>
      </w:pPr>
      <w:r w:rsidDel="00000000" w:rsidR="00000000" w:rsidRPr="00000000">
        <w:rPr>
          <w:rFonts w:ascii="Calibri" w:cs="Calibri" w:eastAsia="Calibri" w:hAnsi="Calibri"/>
          <w:sz w:val="24"/>
          <w:szCs w:val="24"/>
          <w:rtl w:val="0"/>
        </w:rPr>
        <w:t xml:space="preserve">T1566 – Phishing</w:t>
      </w:r>
    </w:p>
    <w:p w:rsidR="00000000" w:rsidDel="00000000" w:rsidP="00000000" w:rsidRDefault="00000000" w:rsidRPr="00000000" w14:paraId="00000030">
      <w:pPr>
        <w:widowControl w:val="1"/>
        <w:numPr>
          <w:ilvl w:val="1"/>
          <w:numId w:val="6"/>
        </w:numPr>
        <w:spacing w:after="0" w:before="0" w:line="240" w:lineRule="auto"/>
        <w:ind w:left="1440" w:hanging="360"/>
        <w:rPr/>
      </w:pPr>
      <w:r w:rsidDel="00000000" w:rsidR="00000000" w:rsidRPr="00000000">
        <w:rPr>
          <w:rFonts w:ascii="Calibri" w:cs="Calibri" w:eastAsia="Calibri" w:hAnsi="Calibri"/>
          <w:sz w:val="24"/>
          <w:szCs w:val="24"/>
          <w:rtl w:val="0"/>
        </w:rPr>
        <w:t xml:space="preserve">T1078 – Valid Accounts</w:t>
      </w:r>
    </w:p>
    <w:p w:rsidR="00000000" w:rsidDel="00000000" w:rsidP="00000000" w:rsidRDefault="00000000" w:rsidRPr="00000000" w14:paraId="00000031">
      <w:pPr>
        <w:widowControl w:val="1"/>
        <w:numPr>
          <w:ilvl w:val="1"/>
          <w:numId w:val="6"/>
        </w:numPr>
        <w:spacing w:after="280" w:before="0" w:line="240" w:lineRule="auto"/>
        <w:ind w:left="1440" w:hanging="360"/>
        <w:rPr/>
      </w:pPr>
      <w:r w:rsidDel="00000000" w:rsidR="00000000" w:rsidRPr="00000000">
        <w:rPr>
          <w:rFonts w:ascii="Calibri" w:cs="Calibri" w:eastAsia="Calibri" w:hAnsi="Calibri"/>
          <w:sz w:val="24"/>
          <w:szCs w:val="24"/>
          <w:rtl w:val="0"/>
        </w:rPr>
        <w:t xml:space="preserve">T1059 – Command and Scripting Interpreter</w:t>
      </w:r>
    </w:p>
    <w:p w:rsidR="00000000" w:rsidDel="00000000" w:rsidP="00000000" w:rsidRDefault="00000000" w:rsidRPr="00000000" w14:paraId="00000032">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943600" cy="2705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1"/>
        <w:spacing w:after="280" w:before="28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Findings</w:t>
      </w:r>
    </w:p>
    <w:p w:rsidR="00000000" w:rsidDel="00000000" w:rsidP="00000000" w:rsidRDefault="00000000" w:rsidRPr="00000000" w14:paraId="00000034">
      <w:pPr>
        <w:widowControl w:val="1"/>
        <w:numPr>
          <w:ilvl w:val="0"/>
          <w:numId w:val="7"/>
        </w:numPr>
        <w:spacing w:after="0" w:before="280" w:line="240" w:lineRule="auto"/>
        <w:ind w:left="720" w:hanging="360"/>
        <w:rPr/>
      </w:pPr>
      <w:r w:rsidDel="00000000" w:rsidR="00000000" w:rsidRPr="00000000">
        <w:rPr>
          <w:rFonts w:ascii="Calibri" w:cs="Calibri" w:eastAsia="Calibri" w:hAnsi="Calibri"/>
          <w:sz w:val="24"/>
          <w:szCs w:val="24"/>
          <w:rtl w:val="0"/>
        </w:rPr>
        <w:t xml:space="preserve">Many healthcare-targeted APTs rely on </w:t>
      </w:r>
      <w:r w:rsidDel="00000000" w:rsidR="00000000" w:rsidRPr="00000000">
        <w:rPr>
          <w:rFonts w:ascii="Calibri" w:cs="Calibri" w:eastAsia="Calibri" w:hAnsi="Calibri"/>
          <w:b w:val="1"/>
          <w:sz w:val="24"/>
          <w:szCs w:val="24"/>
          <w:rtl w:val="0"/>
        </w:rPr>
        <w:t xml:space="preserve">phishing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valid accounts</w:t>
      </w:r>
      <w:r w:rsidDel="00000000" w:rsidR="00000000" w:rsidRPr="00000000">
        <w:rPr>
          <w:rFonts w:ascii="Calibri" w:cs="Calibri" w:eastAsia="Calibri" w:hAnsi="Calibri"/>
          <w:sz w:val="24"/>
          <w:szCs w:val="24"/>
          <w:rtl w:val="0"/>
        </w:rPr>
        <w:t xml:space="preserve"> for initial access.</w:t>
      </w:r>
    </w:p>
    <w:p w:rsidR="00000000" w:rsidDel="00000000" w:rsidP="00000000" w:rsidRDefault="00000000" w:rsidRPr="00000000" w14:paraId="00000035">
      <w:pPr>
        <w:widowControl w:val="1"/>
        <w:numPr>
          <w:ilvl w:val="0"/>
          <w:numId w:val="7"/>
        </w:numPr>
        <w:spacing w:after="0" w:before="0" w:line="240" w:lineRule="auto"/>
        <w:ind w:left="720" w:hanging="360"/>
        <w:rPr/>
      </w:pPr>
      <w:r w:rsidDel="00000000" w:rsidR="00000000" w:rsidRPr="00000000">
        <w:rPr>
          <w:rFonts w:ascii="Calibri" w:cs="Calibri" w:eastAsia="Calibri" w:hAnsi="Calibri"/>
          <w:sz w:val="24"/>
          <w:szCs w:val="24"/>
          <w:rtl w:val="0"/>
        </w:rPr>
        <w:t xml:space="preserve">Credential dumping and obfuscation are common across groups.</w:t>
      </w:r>
    </w:p>
    <w:p w:rsidR="00000000" w:rsidDel="00000000" w:rsidP="00000000" w:rsidRDefault="00000000" w:rsidRPr="00000000" w14:paraId="00000036">
      <w:pPr>
        <w:widowControl w:val="1"/>
        <w:numPr>
          <w:ilvl w:val="0"/>
          <w:numId w:val="7"/>
        </w:numPr>
        <w:spacing w:after="280" w:before="0" w:line="240" w:lineRule="auto"/>
        <w:ind w:left="720" w:hanging="360"/>
        <w:rPr/>
      </w:pPr>
      <w:r w:rsidDel="00000000" w:rsidR="00000000" w:rsidRPr="00000000">
        <w:rPr>
          <w:rFonts w:ascii="Calibri" w:cs="Calibri" w:eastAsia="Calibri" w:hAnsi="Calibri"/>
          <w:sz w:val="24"/>
          <w:szCs w:val="24"/>
          <w:rtl w:val="0"/>
        </w:rPr>
        <w:t xml:space="preserve">Persistent techniques like </w:t>
      </w:r>
      <w:r w:rsidDel="00000000" w:rsidR="00000000" w:rsidRPr="00000000">
        <w:rPr>
          <w:rFonts w:ascii="Calibri" w:cs="Calibri" w:eastAsia="Calibri" w:hAnsi="Calibri"/>
          <w:b w:val="1"/>
          <w:sz w:val="24"/>
          <w:szCs w:val="24"/>
          <w:rtl w:val="0"/>
        </w:rPr>
        <w:t xml:space="preserve">scheduled tasks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remote services</w:t>
      </w:r>
      <w:r w:rsidDel="00000000" w:rsidR="00000000" w:rsidRPr="00000000">
        <w:rPr>
          <w:rFonts w:ascii="Calibri" w:cs="Calibri" w:eastAsia="Calibri" w:hAnsi="Calibri"/>
          <w:sz w:val="24"/>
          <w:szCs w:val="24"/>
          <w:rtl w:val="0"/>
        </w:rPr>
        <w:t xml:space="preserve"> are frequently used.</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sectPr>
      <w:footerReference r:id="rId11" w:type="default"/>
      <w:pgSz w:h="15840" w:w="12240" w:orient="portrait"/>
      <w:pgMar w:bottom="288" w:top="864"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tabs>
        <w:tab w:val="left" w:leader="none" w:pos="2880"/>
      </w:tabs>
      <w:jc w:val="right"/>
      <w:rPr>
        <w:color w:val="80808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lang w:val="en"/>
      </w:rPr>
    </w:rPrDefault>
    <w:pPrDefault>
      <w:pPr>
        <w:widowControl w:val="0"/>
        <w:spacing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240" w:line="240" w:lineRule="auto"/>
    </w:pPr>
    <w:rPr>
      <w:b w:val="1"/>
    </w:rPr>
  </w:style>
  <w:style w:type="paragraph" w:styleId="Heading2">
    <w:name w:val="heading 2"/>
    <w:basedOn w:val="Normal"/>
    <w:next w:val="Normal"/>
    <w:pPr>
      <w:spacing w:line="240" w:lineRule="auto"/>
    </w:pPr>
    <w:rPr>
      <w:b w:val="1"/>
    </w:rPr>
  </w:style>
  <w:style w:type="paragraph" w:styleId="Heading3">
    <w:name w:val="heading 3"/>
    <w:basedOn w:val="Normal"/>
    <w:next w:val="Normal"/>
    <w:pPr>
      <w:spacing w:line="240" w:lineRule="auto"/>
    </w:pPr>
    <w:rPr>
      <w:i w:val="1"/>
    </w:rPr>
  </w:style>
  <w:style w:type="paragraph" w:styleId="Heading4">
    <w:name w:val="heading 4"/>
    <w:basedOn w:val="Normal"/>
    <w:next w:val="Normal"/>
    <w:pPr>
      <w:spacing w:before="99" w:lineRule="auto"/>
    </w:pPr>
    <w:rPr>
      <w:b w:val="1"/>
      <w:sz w:val="23"/>
      <w:szCs w:val="2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720"/>
      </w:tabs>
      <w:spacing w:after="360" w:line="720" w:lineRule="auto"/>
    </w:pPr>
    <w:rPr>
      <w:rFonts w:ascii="Georgia" w:cs="Georgia" w:eastAsia="Georgia" w:hAnsi="Georgia"/>
      <w:b w:val="1"/>
      <w:color w:val="000000"/>
      <w:sz w:val="80"/>
      <w:szCs w:val="80"/>
    </w:rPr>
  </w:style>
  <w:style w:type="paragraph" w:styleId="Subtitle">
    <w:name w:val="Subtitle"/>
    <w:basedOn w:val="Normal"/>
    <w:next w:val="Normal"/>
    <w:pPr>
      <w:spacing w:line="240" w:lineRule="auto"/>
    </w:pPr>
    <w:rPr>
      <w:rFonts w:ascii="Georgia" w:cs="Georgia" w:eastAsia="Georgia" w:hAnsi="Georgia"/>
      <w:b w:val="1"/>
      <w:smallCaps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socradar.io/la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