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Phishing Simulation Report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Cybersecurity Audit Project – Employee Vigilance Assessment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Organisation: Confidential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Date: 29 June 2025</w:t>
      </w:r>
    </w:p>
    <w:p w:rsidR="00000000" w:rsidDel="00000000" w:rsidP="00000000" w:rsidRDefault="00000000" w:rsidRPr="00000000" w14:paraId="0000000A">
      <w:pPr>
        <w:pStyle w:val="Heading2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 Dare Ogunbayeje (Cybersecurity Analyst)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· Overview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 live phishing simulation measured employee vigilance against credential‑harvesting attacks after a phishing‑awareness training programme. The exercise focused on lowering link‑click frequency, reducing credential submission attempts, and improving incident reporting.</w:t>
      </w:r>
    </w:p>
    <w:p w:rsidR="00000000" w:rsidDel="00000000" w:rsidP="00000000" w:rsidRDefault="00000000" w:rsidRPr="00000000" w14:paraId="00000018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· Objectives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Lower link‑click rate among targeted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Increase phishing incident reports submitted to the security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Reduce credential submission attempts on the phishing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· Compliance Drivers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ISO/IEC 27001 user‑awareness control (Annex A 6.3) demands measurable security education, while the internal risk register tracks progress against social‑engineering risks.</w:t>
      </w:r>
    </w:p>
    <w:p w:rsidR="00000000" w:rsidDel="00000000" w:rsidP="00000000" w:rsidRDefault="00000000" w:rsidRPr="00000000" w14:paraId="0000001E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· Tooling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Zphisher – generated the phishing site and captured interaction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Localxpose – optional port‑forwarding for internal access during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Google Sheets – stored key performance indicators.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· Simulation Scenario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 crafted invoice‑reminder email requested payment for WordPress services. The message included a link that directed recipients to a clone login page hosted with Zphisher.</w:t>
      </w:r>
    </w:p>
    <w:p w:rsidR="00000000" w:rsidDel="00000000" w:rsidP="00000000" w:rsidRDefault="00000000" w:rsidRPr="00000000" w14:paraId="00000024">
      <w:pPr>
        <w:pStyle w:val="Heading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5.1 · Phishing Email Template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· Metrics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Post‑Campaign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Link clicks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80 %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Credential submissions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60 %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Phishing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10 %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80 %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· Analysis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Link‑click frequency fell by fifty percentage points, reflecting greater caution.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Credential submission attempts dropped by forty percentage points, indicating stronger scepticism.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Reporting rate rose by seventy percentage points, demonstrating proactive security behaviour.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· Recommendations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Schedule quarterly phishing simulations to maintain awareness.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Deliver refresher modules to employees who clicked or submitted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Display live report metrics on the security dashboard for immediate visibility.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· Conclusion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The simulation provided measurable evidence of improved employee vigilance. Results support ongoing investment in user‑focused security controls and align with ISO 27001 requirements and risk‑management goals.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vxGnDRUK0KaL8kuMyiRY2lcMQ==">CgMxLjA4AHIhMUduOW9BcVlQQU1kcHZtNkhWTjNMcnktX1ZxSVNQaDFs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