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DengXian" w:cs="DengXian" w:eastAsia="DengXian" w:hAnsi="DengXian"/>
          <w:b/>
          <w:bCs/>
          <w:color w:val="1F4E5F"/>
          <w:sz w:val="40"/>
          <w:szCs w:val="40"/>
        </w:rPr>
        <w:t xml:space="preserve">生物化學 課程大綱</w:t>
      </w:r>
    </w:p>
    <w:p>
      <w:pPr>
        <w:spacing w:after="40"/>
        <w:jc w:val="center"/>
      </w:pPr>
      <w:r>
        <w:rPr>
          <w:rFonts w:ascii="DengXian" w:cs="DengXian" w:eastAsia="DengXian" w:hAnsi="DengXian"/>
          <w:color w:val="5A7A85"/>
          <w:sz w:val="24"/>
          <w:szCs w:val="24"/>
        </w:rPr>
        <w:t xml:space="preserve">Hóa sinh — Đề cương môn học (18 tuần)</w:t>
      </w:r>
    </w:p>
    <w:p>
      <w:pPr>
        <w:pBdr>
          <w:bottom w:val="single" w:color="2E7D8A" w:sz="6" w:space="6"/>
        </w:pBdr>
        <w:spacing w:after="300"/>
        <w:jc w:val="center"/>
      </w:pPr>
      <w:r>
        <w:rPr>
          <w:rFonts w:ascii="DengXian" w:cs="DengXian" w:eastAsia="DengXian" w:hAnsi="DengXian"/>
          <w:sz w:val="22"/>
          <w:szCs w:val="22"/>
        </w:rPr>
        <w:t xml:space="preserve">授課對象:越南籍學生(中文程度 CEFR A2)</w:t>
      </w:r>
    </w:p>
    <w:p>
      <w:pPr>
        <w:pStyle w:val="Heading1"/>
        <w:spacing w:after="160" w:before="320"/>
      </w:pPr>
      <w:r>
        <w:rPr>
          <w:rFonts w:ascii="DengXian" w:cs="DengXian" w:eastAsia="DengXian" w:hAnsi="DengXian"/>
          <w:b/>
          <w:bCs/>
          <w:color w:val="1F4E5F"/>
          <w:sz w:val="30"/>
          <w:szCs w:val="30"/>
        </w:rPr>
        <w:t xml:space="preserve">一、課程基本資料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400"/>
      </w:tblGrid>
      <w:tr>
        <w:trPr>
          <w:tblHeader/>
        </w:trPr>
        <w:tc>
          <w:tcPr>
            <w:tcW w:type="dxa" w:w="1800"/>
            <w:shd w:fill="D6EAF0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DengXian" w:cs="DengXian" w:eastAsia="DengXian" w:hAnsi="DengXian"/>
                <w:b/>
                <w:bCs/>
                <w:sz w:val="18"/>
                <w:szCs w:val="18"/>
              </w:rPr>
              <w:t xml:space="preserve">項目</w:t>
            </w:r>
          </w:p>
        </w:tc>
        <w:tc>
          <w:tcPr>
            <w:tcW w:type="dxa" w:w="7400"/>
            <w:shd w:fill="D6EAF0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DengXian" w:cs="DengXian" w:eastAsia="DengXian" w:hAnsi="DengXian"/>
                <w:b/>
                <w:bCs/>
                <w:sz w:val="18"/>
                <w:szCs w:val="18"/>
              </w:rPr>
              <w:t xml:space="preserve">內容</w:t>
            </w:r>
          </w:p>
        </w:tc>
      </w:tr>
      <w:tr>
        <w:tc>
          <w:tcPr>
            <w:tcW w:type="dxa" w:w="1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課程名稱</w:t>
            </w:r>
          </w:p>
        </w:tc>
        <w:tc>
          <w:tcPr>
            <w:tcW w:type="dxa" w:w="7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生物化學 Biochemistry / Hóa sinh</w:t>
            </w:r>
          </w:p>
        </w:tc>
      </w:tr>
      <w:tr>
        <w:tc>
          <w:tcPr>
            <w:tcW w:type="dxa" w:w="18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總時數</w:t>
            </w:r>
          </w:p>
        </w:tc>
        <w:tc>
          <w:tcPr>
            <w:tcW w:type="dxa" w:w="74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18 週 × 2 小時 = 36 小時</w:t>
            </w:r>
          </w:p>
        </w:tc>
      </w:tr>
      <w:tr>
        <w:tc>
          <w:tcPr>
            <w:tcW w:type="dxa" w:w="1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授課語言</w:t>
            </w:r>
          </w:p>
        </w:tc>
        <w:tc>
          <w:tcPr>
            <w:tcW w:type="dxa" w:w="7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中文為主(A2 分級中文);術語標註越南語與英文</w:t>
            </w:r>
          </w:p>
        </w:tc>
      </w:tr>
      <w:tr>
        <w:tc>
          <w:tcPr>
            <w:tcW w:type="dxa" w:w="18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修課對象</w:t>
            </w:r>
          </w:p>
        </w:tc>
        <w:tc>
          <w:tcPr>
            <w:tcW w:type="dxa" w:w="74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越南籍學生,中文 CEFR A2(約 HSK 2–3);高中已修新課綱生物/化學</w:t>
            </w:r>
          </w:p>
        </w:tc>
      </w:tr>
      <w:tr>
        <w:tc>
          <w:tcPr>
            <w:tcW w:type="dxa" w:w="1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先修知識</w:t>
            </w:r>
          </w:p>
        </w:tc>
        <w:tc>
          <w:tcPr>
            <w:tcW w:type="dxa" w:w="7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高中普通化學、高中生物(細胞、遺傳基礎)</w:t>
            </w:r>
          </w:p>
        </w:tc>
      </w:tr>
      <w:tr>
        <w:tc>
          <w:tcPr>
            <w:tcW w:type="dxa" w:w="18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主要教材</w:t>
            </w:r>
          </w:p>
        </w:tc>
        <w:tc>
          <w:tcPr>
            <w:tcW w:type="dxa" w:w="74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《Lehninger 生物化學原理》第7版繁體中文譯本(圖像與章節主軸)</w:t>
            </w:r>
          </w:p>
        </w:tc>
      </w:tr>
      <w:tr>
        <w:tc>
          <w:tcPr>
            <w:tcW w:type="dxa" w:w="1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輔助教材</w:t>
            </w:r>
          </w:p>
        </w:tc>
        <w:tc>
          <w:tcPr>
            <w:tcW w:type="dxa" w:w="7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Essential Biochemistry (Pratt &amp; Cornely) — 英文精簡對照</w:t>
            </w:r>
          </w:p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color w:val="5A7A85"/>
                <w:sz w:val="18"/>
                <w:szCs w:val="18"/>
              </w:rPr>
              <w:t xml:space="preserve">The Manga Guide to Biochemistry — 課前圖像預習</w:t>
            </w:r>
          </w:p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color w:val="5A7A85"/>
                <w:sz w:val="18"/>
                <w:szCs w:val="18"/>
              </w:rPr>
              <w:t xml:space="preserve">Biochemistry Free For All / Free and Easy — 免費補充與練習</w:t>
            </w:r>
          </w:p>
        </w:tc>
      </w:tr>
    </w:tbl>
    <w:p>
      <w:pPr>
        <w:pStyle w:val="Heading1"/>
        <w:spacing w:after="160" w:before="320"/>
      </w:pPr>
      <w:r>
        <w:rPr>
          <w:rFonts w:ascii="DengXian" w:cs="DengXian" w:eastAsia="DengXian" w:hAnsi="DengXian"/>
          <w:b/>
          <w:bCs/>
          <w:color w:val="1F4E5F"/>
          <w:sz w:val="30"/>
          <w:szCs w:val="30"/>
        </w:rPr>
        <w:t xml:space="preserve">二、課程設計的核心問題與對策</w:t>
      </w:r>
    </w:p>
    <w:p>
      <w:pPr>
        <w:spacing w:after="140" w:line="300"/>
      </w:pPr>
      <w:r>
        <w:rPr>
          <w:rFonts w:ascii="DengXian" w:cs="DengXian" w:eastAsia="DengXian" w:hAnsi="DengXian"/>
          <w:sz w:val="22"/>
          <w:szCs w:val="22"/>
        </w:rPr>
        <w:t xml:space="preserve">必須先誠實面對一件事:CEFR A2 的中文程度,無法直接閱讀中文版 Lehninger。A2 約 1,000–1,500 詞,句法以簡單句為主;而中譯本一句常超過 40 字,且大量使用學術書面語。若照一般本地生的方式授課,學生會「聽不懂中文」而不是「學不會生化」——這兩者必須分開處理。</w:t>
      </w:r>
    </w:p>
    <w:p>
      <w:pPr>
        <w:spacing w:after="140" w:line="300"/>
      </w:pPr>
      <w:r>
        <w:rPr>
          <w:rFonts w:ascii="DengXian" w:cs="DengXian" w:eastAsia="DengXian" w:hAnsi="DengXian"/>
          <w:sz w:val="22"/>
          <w:szCs w:val="22"/>
        </w:rPr>
        <w:t xml:space="preserve">因此本課程的設計原則是:降低語言負荷,不降低學科標準。具體做法如下。</w:t>
      </w:r>
    </w:p>
    <w:p>
      <w:pPr>
        <w:pStyle w:val="Heading2"/>
        <w:spacing w:after="110" w:before="220"/>
      </w:pPr>
      <w:r>
        <w:rPr>
          <w:rFonts w:ascii="DengXian" w:cs="DengXian" w:eastAsia="DengXian" w:hAnsi="DengXian"/>
          <w:b/>
          <w:bCs/>
          <w:color w:val="2E7D8A"/>
          <w:sz w:val="24"/>
          <w:szCs w:val="24"/>
        </w:rPr>
        <w:t xml:space="preserve">對策 1:教科書當圖庫與參照,不當閱讀作業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DengXian" w:cs="DengXian" w:eastAsia="DengXian" w:hAnsi="DengXian"/>
          <w:sz w:val="22"/>
          <w:szCs w:val="22"/>
        </w:rPr>
        <w:t xml:space="preserve">Lehninger 中譯本主要用途是「圖」與「查證」,不指定整節中文閱讀。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DengXian" w:cs="DengXian" w:eastAsia="DengXian" w:hAnsi="DengXian"/>
          <w:sz w:val="22"/>
          <w:szCs w:val="22"/>
        </w:rPr>
        <w:t xml:space="preserve">每週的必讀是教師自製的 A2 分級講義(2–3 頁),中譯本頁碼僅供對照查閱。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DengXian" w:cs="DengXian" w:eastAsia="DengXian" w:hAnsi="DengXian"/>
          <w:sz w:val="22"/>
          <w:szCs w:val="22"/>
        </w:rPr>
        <w:t xml:space="preserve">Manga Guide 作為課前預習:圖像敘事,語言負荷極低,先建立直覺。</w:t>
      </w:r>
    </w:p>
    <w:p>
      <w:pPr>
        <w:pStyle w:val="Heading2"/>
        <w:spacing w:after="110" w:before="220"/>
      </w:pPr>
      <w:r>
        <w:rPr>
          <w:rFonts w:ascii="DengXian" w:cs="DengXian" w:eastAsia="DengXian" w:hAnsi="DengXian"/>
          <w:b/>
          <w:bCs/>
          <w:color w:val="2E7D8A"/>
          <w:sz w:val="24"/>
          <w:szCs w:val="24"/>
        </w:rPr>
        <w:t xml:space="preserve">對策 2:用越南語與英文當認知橋樑</w:t>
      </w:r>
    </w:p>
    <w:p>
      <w:pPr>
        <w:spacing w:after="140" w:line="300"/>
      </w:pPr>
      <w:r>
        <w:rPr>
          <w:rFonts w:ascii="DengXian" w:cs="DengXian" w:eastAsia="DengXian" w:hAnsi="DengXian"/>
          <w:sz w:val="22"/>
          <w:szCs w:val="22"/>
        </w:rPr>
        <w:t xml:space="preserve">這是本班最大的優勢。越南語生化術語幾乎全是英文的音譯或直譯(protein → protein、enzyme → enzyme、glucose → glucose、mitochondria → ty thể),與英文教材幾乎無縫。學生的困難只在「中文那一層」。因此術語一律三語同時呈現,讓學生把已知的越南語/英文概念,掛上一個新的中文標籤——這是貼標籤,不是重新學習。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DengXian" w:cs="DengXian" w:eastAsia="DengXian" w:hAnsi="DengXian"/>
          <w:sz w:val="22"/>
          <w:szCs w:val="22"/>
        </w:rPr>
        <w:t xml:space="preserve">術語系統採 2018 越南新課綱寫法:acid、base、carbohydrate、enzyme、gene、DNA/RNA。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DengXian" w:cs="DengXian" w:eastAsia="DengXian" w:hAnsi="DengXian"/>
          <w:sz w:val="22"/>
          <w:szCs w:val="22"/>
        </w:rPr>
        <w:t xml:space="preserve">不使用醫藥系舊制(glucid、enzym、ADN/ARN),兩套系統不可混用,以免學生混亂。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DengXian" w:cs="DengXian" w:eastAsia="DengXian" w:hAnsi="DengXian"/>
          <w:sz w:val="22"/>
          <w:szCs w:val="22"/>
        </w:rPr>
        <w:t xml:space="preserve">每個術語首次出現:中文 + 漢語拼音 + Tiếng Việt + English,四者並列。</w:t>
      </w:r>
    </w:p>
    <w:p>
      <w:pPr>
        <w:pStyle w:val="Heading2"/>
        <w:spacing w:after="110" w:before="220"/>
      </w:pPr>
      <w:r>
        <w:rPr>
          <w:rFonts w:ascii="DengXian" w:cs="DengXian" w:eastAsia="DengXian" w:hAnsi="DengXian"/>
          <w:b/>
          <w:bCs/>
          <w:color w:val="2E7D8A"/>
          <w:sz w:val="24"/>
          <w:szCs w:val="24"/>
        </w:rPr>
        <w:t xml:space="preserve">對策 3:教師語言分級(這一項最常被忽略)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DengXian" w:cs="DengXian" w:eastAsia="DengXian" w:hAnsi="DengXian"/>
          <w:sz w:val="22"/>
          <w:szCs w:val="22"/>
        </w:rPr>
        <w:t xml:space="preserve">句長控制在 12 字以內,一句一個概念。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DengXian" w:cs="DengXian" w:eastAsia="DengXian" w:hAnsi="DengXian"/>
          <w:sz w:val="22"/>
          <w:szCs w:val="22"/>
        </w:rPr>
        <w:t xml:space="preserve">避免成語、文言、被動句與「之、其、乃」等書面語。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DengXian" w:cs="DengXian" w:eastAsia="DengXian" w:hAnsi="DengXian"/>
          <w:sz w:val="22"/>
          <w:szCs w:val="22"/>
        </w:rPr>
        <w:t xml:space="preserve">固定課堂指令句型(例如:「請看圖」「這是什麼?」「A 變成 B」),讓學生把心力花在概念上。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DengXian" w:cs="DengXian" w:eastAsia="DengXian" w:hAnsi="DengXian"/>
          <w:sz w:val="22"/>
          <w:szCs w:val="22"/>
        </w:rPr>
        <w:t xml:space="preserve">關鍵句寫在白板上,不只用說的——A2 的閱讀能力通常優於聽力。</w:t>
      </w:r>
    </w:p>
    <w:p>
      <w:pPr>
        <w:pStyle w:val="Heading2"/>
        <w:spacing w:after="110" w:before="220"/>
      </w:pPr>
      <w:r>
        <w:rPr>
          <w:rFonts w:ascii="DengXian" w:cs="DengXian" w:eastAsia="DengXian" w:hAnsi="DengXian"/>
          <w:b/>
          <w:bCs/>
          <w:color w:val="2E7D8A"/>
          <w:sz w:val="24"/>
          <w:szCs w:val="24"/>
        </w:rPr>
        <w:t xml:space="preserve">對策 4:評量去語言化</w:t>
      </w:r>
    </w:p>
    <w:p>
      <w:pPr>
        <w:spacing w:after="140" w:line="300"/>
      </w:pPr>
      <w:r>
        <w:rPr>
          <w:rFonts w:ascii="DengXian" w:cs="DengXian" w:eastAsia="DengXian" w:hAnsi="DengXian"/>
          <w:sz w:val="22"/>
          <w:szCs w:val="22"/>
        </w:rPr>
        <w:t xml:space="preserve">A2 學生無法用中文申論生化。若考申論,量到的是中文能力,不是生化能力。因此評量以標圖、配對、流程排序、選擇、計算為主;需要文字說明時,允許用英文或越南語作答。</w:t>
      </w:r>
    </w:p>
    <w:p>
      <w:pPr>
        <w:pStyle w:val="Heading1"/>
        <w:spacing w:after="160" w:before="320"/>
      </w:pPr>
      <w:r>
        <w:rPr>
          <w:rFonts w:ascii="DengXian" w:cs="DengXian" w:eastAsia="DengXian" w:hAnsi="DengXian"/>
          <w:b/>
          <w:bCs/>
          <w:color w:val="1F4E5F"/>
          <w:sz w:val="30"/>
          <w:szCs w:val="30"/>
        </w:rPr>
        <w:t xml:space="preserve">三、課程學習目標</w:t>
      </w:r>
    </w:p>
    <w:p>
      <w:pPr>
        <w:spacing w:after="100" w:line="300"/>
      </w:pPr>
      <w:r>
        <w:rPr>
          <w:rFonts w:ascii="DengXian" w:cs="DengXian" w:eastAsia="DengXian" w:hAnsi="DengXian"/>
          <w:sz w:val="22"/>
          <w:szCs w:val="22"/>
        </w:rPr>
        <w:t xml:space="preserve">修畢本課程後,學生應能: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DengXian" w:cs="DengXian" w:eastAsia="DengXian" w:hAnsi="DengXian"/>
          <w:sz w:val="22"/>
          <w:szCs w:val="22"/>
        </w:rPr>
        <w:t xml:space="preserve">辨識四大類生物分子的結構特徵,並用中文說出其名稱。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DengXian" w:cs="DengXian" w:eastAsia="DengXian" w:hAnsi="DengXian"/>
          <w:sz w:val="22"/>
          <w:szCs w:val="22"/>
        </w:rPr>
        <w:t xml:space="preserve">解釋蛋白質結構與功能的關係,並判讀氧合曲線與酵素動力學曲線。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DengXian" w:cs="DengXian" w:eastAsia="DengXian" w:hAnsi="DengXian"/>
          <w:sz w:val="22"/>
          <w:szCs w:val="22"/>
        </w:rPr>
        <w:t xml:space="preserve">依序說明糖解、檸檬酸循環、氧化磷酸化的流程與能量收支。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DengXian" w:cs="DengXian" w:eastAsia="DengXian" w:hAnsi="DengXian"/>
          <w:sz w:val="22"/>
          <w:szCs w:val="22"/>
        </w:rPr>
        <w:t xml:space="preserve">說明飽食與飢餓狀態下,主要器官的代謝分工與激素調節。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DengXian" w:cs="DengXian" w:eastAsia="DengXian" w:hAnsi="DengXian"/>
          <w:sz w:val="22"/>
          <w:szCs w:val="22"/>
        </w:rPr>
        <w:t xml:space="preserve">正確使用約 250 個生化核心術語的中文形式(聽、讀、說)。</w:t>
      </w:r>
    </w:p>
    <w:p>
      <w:pPr>
        <w:sectPr>
          <w:pgSz w:w="11906" w:h="16838" w:orient="portrait"/>
          <w:pgMar w:top="1000" w:right="1100" w:bottom="1000" w:left="1100" w:header="708" w:footer="708" w:gutter="0"/>
          <w:pgNumType/>
          <w:docGrid w:linePitch="360"/>
        </w:sectPr>
      </w:pPr>
    </w:p>
    <w:p>
      <w:pPr>
        <w:pStyle w:val="Heading1"/>
        <w:spacing w:after="160" w:before="320"/>
      </w:pPr>
      <w:r>
        <w:rPr>
          <w:rFonts w:ascii="DengXian" w:cs="DengXian" w:eastAsia="DengXian" w:hAnsi="DengXian"/>
          <w:b/>
          <w:bCs/>
          <w:color w:val="1F4E5F"/>
          <w:sz w:val="30"/>
          <w:szCs w:val="30"/>
        </w:rPr>
        <w:t xml:space="preserve">四、18 週課程進度表</w:t>
      </w:r>
    </w:p>
    <w:tbl>
      <w:tblPr>
        <w:tblW w:type="dxa" w:w="12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2000"/>
        <w:gridCol w:w="2500"/>
        <w:gridCol w:w="2100"/>
        <w:gridCol w:w="2500"/>
        <w:gridCol w:w="3140"/>
      </w:tblGrid>
      <w:tr>
        <w:trPr>
          <w:tblHeader/>
        </w:trPr>
        <w:tc>
          <w:tcPr>
            <w:tcW w:type="dxa" w:w="560"/>
            <w:shd w:fill="D6EAF0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DengXian" w:cs="DengXian" w:eastAsia="DengXian" w:hAnsi="DengXian"/>
                <w:b/>
                <w:bCs/>
                <w:sz w:val="18"/>
                <w:szCs w:val="18"/>
              </w:rPr>
              <w:t xml:space="preserve">週</w:t>
            </w:r>
          </w:p>
        </w:tc>
        <w:tc>
          <w:tcPr>
            <w:tcW w:type="dxa" w:w="2000"/>
            <w:shd w:fill="D6EAF0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DengXian" w:cs="DengXian" w:eastAsia="DengXian" w:hAnsi="DengXian"/>
                <w:b/>
                <w:bCs/>
                <w:sz w:val="18"/>
                <w:szCs w:val="18"/>
              </w:rPr>
              <w:t xml:space="preserve">主題 Chủ đề</w:t>
            </w:r>
          </w:p>
        </w:tc>
        <w:tc>
          <w:tcPr>
            <w:tcW w:type="dxa" w:w="2500"/>
            <w:shd w:fill="D6EAF0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DengXian" w:cs="DengXian" w:eastAsia="DengXian" w:hAnsi="DengXian"/>
                <w:b/>
                <w:bCs/>
                <w:sz w:val="18"/>
                <w:szCs w:val="18"/>
              </w:rPr>
              <w:t xml:space="preserve">核心概念</w:t>
            </w:r>
          </w:p>
        </w:tc>
        <w:tc>
          <w:tcPr>
            <w:tcW w:type="dxa" w:w="2100"/>
            <w:shd w:fill="D6EAF0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DengXian" w:cs="DengXian" w:eastAsia="DengXian" w:hAnsi="DengXian"/>
                <w:b/>
                <w:bCs/>
                <w:sz w:val="18"/>
                <w:szCs w:val="18"/>
              </w:rPr>
              <w:t xml:space="preserve">教材與頁碼</w:t>
            </w:r>
          </w:p>
        </w:tc>
        <w:tc>
          <w:tcPr>
            <w:tcW w:type="dxa" w:w="2500"/>
            <w:shd w:fill="D6EAF0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DengXian" w:cs="DengXian" w:eastAsia="DengXian" w:hAnsi="DengXian"/>
                <w:b/>
                <w:bCs/>
                <w:sz w:val="18"/>
                <w:szCs w:val="18"/>
              </w:rPr>
              <w:t xml:space="preserve">學生能做到什麼(可評量)</w:t>
            </w:r>
          </w:p>
        </w:tc>
        <w:tc>
          <w:tcPr>
            <w:tcW w:type="dxa" w:w="3140"/>
            <w:shd w:fill="D6EAF0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DengXian" w:cs="DengXian" w:eastAsia="DengXian" w:hAnsi="DengXian"/>
                <w:b/>
                <w:bCs/>
                <w:sz w:val="18"/>
                <w:szCs w:val="18"/>
              </w:rPr>
              <w:t xml:space="preserve">課堂活動與語言支援</w:t>
            </w:r>
          </w:p>
        </w:tc>
      </w:tr>
      <w:tr>
        <w:tc>
          <w:tcPr>
            <w:tcW w:type="dxa" w:w="5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導論:生物化學是什麼</w:t>
            </w:r>
          </w:p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color w:val="5A7A85"/>
                <w:sz w:val="18"/>
                <w:szCs w:val="18"/>
              </w:rPr>
              <w:t xml:space="preserve">Nhập môn Hóa sinh</w:t>
            </w:r>
          </w:p>
        </w:tc>
        <w:tc>
          <w:tcPr>
            <w:tcW w:type="dxa" w:w="2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細胞、生物分子四大類、官能基、生化學在醫藥的用途</w:t>
            </w:r>
          </w:p>
        </w:tc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Lehninger中譯 Ch1(p.30–73)</w:t>
            </w:r>
          </w:p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color w:val="5A7A85"/>
                <w:sz w:val="18"/>
                <w:szCs w:val="18"/>
              </w:rPr>
              <w:t xml:space="preserve">Manga Ch1(p.27–52)</w:t>
            </w:r>
          </w:p>
        </w:tc>
        <w:tc>
          <w:tcPr>
            <w:tcW w:type="dxa" w:w="2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說出四大類生物分子的中文與越南語名稱;指出細胞主要胞器</w:t>
            </w:r>
          </w:p>
        </w:tc>
        <w:tc>
          <w:tcPr>
            <w:tcW w:type="dxa" w:w="31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課程契約、三語詞彙表發放、術語發音練習</w:t>
            </w:r>
          </w:p>
        </w:tc>
      </w:tr>
      <w:tr>
        <w:tc>
          <w:tcPr>
            <w:tcW w:type="dxa" w:w="56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0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水、pH 與緩衝溶液</w:t>
            </w:r>
          </w:p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color w:val="5A7A85"/>
                <w:sz w:val="18"/>
                <w:szCs w:val="18"/>
              </w:rPr>
              <w:t xml:space="preserve">Nước, pH và dung dịch đệm</w:t>
            </w:r>
          </w:p>
        </w:tc>
        <w:tc>
          <w:tcPr>
            <w:tcW w:type="dxa" w:w="25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氫鍵、疏水效應、pH、pKa、亨德森-哈塞爾巴爾赫方程式、緩衝</w:t>
            </w:r>
          </w:p>
        </w:tc>
        <w:tc>
          <w:tcPr>
            <w:tcW w:type="dxa" w:w="21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Lehninger中譯 Ch2(p.76–103)</w:t>
            </w:r>
          </w:p>
        </w:tc>
        <w:tc>
          <w:tcPr>
            <w:tcW w:type="dxa" w:w="25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計算簡單 pH;說明緩衝液為何能抵抗 pH 變化</w:t>
            </w:r>
          </w:p>
        </w:tc>
        <w:tc>
          <w:tcPr>
            <w:tcW w:type="dxa" w:w="314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滴定曲線標圖練習(不寫字,只標點)</w:t>
            </w:r>
          </w:p>
        </w:tc>
      </w:tr>
      <w:tr>
        <w:tc>
          <w:tcPr>
            <w:tcW w:type="dxa" w:w="5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胺基酸與胜肽</w:t>
            </w:r>
          </w:p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color w:val="5A7A85"/>
                <w:sz w:val="18"/>
                <w:szCs w:val="18"/>
              </w:rPr>
              <w:t xml:space="preserve">Amino acid và peptide</w:t>
            </w:r>
          </w:p>
        </w:tc>
        <w:tc>
          <w:tcPr>
            <w:tcW w:type="dxa" w:w="2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20 種胺基酸、側鏈分類、胜肽鍵、等電點</w:t>
            </w:r>
          </w:p>
        </w:tc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Lehninger中譯 Ch3(p.104–143)</w:t>
            </w:r>
          </w:p>
        </w:tc>
        <w:tc>
          <w:tcPr>
            <w:tcW w:type="dxa" w:w="2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依側鏈把胺基酸分成四類;畫出胜肽鍵</w:t>
            </w:r>
          </w:p>
        </w:tc>
        <w:tc>
          <w:tcPr>
            <w:tcW w:type="dxa" w:w="31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胺基酸卡牌分類遊戲(小組,口說用固定句型)</w:t>
            </w:r>
          </w:p>
        </w:tc>
      </w:tr>
      <w:tr>
        <w:tc>
          <w:tcPr>
            <w:tcW w:type="dxa" w:w="56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0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蛋白質的三維結構</w:t>
            </w:r>
          </w:p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color w:val="5A7A85"/>
                <w:sz w:val="18"/>
                <w:szCs w:val="18"/>
              </w:rPr>
              <w:t xml:space="preserve">Cấu trúc protein</w:t>
            </w:r>
          </w:p>
        </w:tc>
        <w:tc>
          <w:tcPr>
            <w:tcW w:type="dxa" w:w="25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一至四級結構、α螺旋、β摺板、摺疊、變性</w:t>
            </w:r>
          </w:p>
        </w:tc>
        <w:tc>
          <w:tcPr>
            <w:tcW w:type="dxa" w:w="21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Lehninger中譯 Ch4(p.144–185)</w:t>
            </w:r>
          </w:p>
        </w:tc>
        <w:tc>
          <w:tcPr>
            <w:tcW w:type="dxa" w:w="25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說出四個層級的差別;解釋變性</w:t>
            </w:r>
          </w:p>
        </w:tc>
        <w:tc>
          <w:tcPr>
            <w:tcW w:type="dxa" w:w="314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作業1:蛋白質結構層級圖(標圖題)</w:t>
            </w:r>
          </w:p>
        </w:tc>
      </w:tr>
      <w:tr>
        <w:tc>
          <w:tcPr>
            <w:tcW w:type="dxa" w:w="5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蛋白質功能:肌紅素與血紅素</w:t>
            </w:r>
          </w:p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color w:val="5A7A85"/>
                <w:sz w:val="18"/>
                <w:szCs w:val="18"/>
              </w:rPr>
              <w:t xml:space="preserve">Chức năng protein</w:t>
            </w:r>
          </w:p>
        </w:tc>
        <w:tc>
          <w:tcPr>
            <w:tcW w:type="dxa" w:w="2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配位基結合、氧合曲線、協同性、鐮刀型貧血</w:t>
            </w:r>
          </w:p>
        </w:tc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Lehninger中譯 Ch5(p.186–215)</w:t>
            </w:r>
          </w:p>
        </w:tc>
        <w:tc>
          <w:tcPr>
            <w:tcW w:type="dxa" w:w="2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比較肌紅素與血紅素的氧合曲線</w:t>
            </w:r>
          </w:p>
        </w:tc>
        <w:tc>
          <w:tcPr>
            <w:tcW w:type="dxa" w:w="31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病例導入:鐮刀型貧血(圖像+越南語補充說明)</w:t>
            </w:r>
          </w:p>
        </w:tc>
      </w:tr>
      <w:tr>
        <w:tc>
          <w:tcPr>
            <w:tcW w:type="dxa" w:w="56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0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酵素(一):催化原理</w:t>
            </w:r>
          </w:p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color w:val="5A7A85"/>
                <w:sz w:val="18"/>
                <w:szCs w:val="18"/>
              </w:rPr>
              <w:t xml:space="preserve">Enzyme (1)</w:t>
            </w:r>
          </w:p>
        </w:tc>
        <w:tc>
          <w:tcPr>
            <w:tcW w:type="dxa" w:w="25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活化能、活性部位、受質專一性、輔酶、六大分類</w:t>
            </w:r>
          </w:p>
        </w:tc>
        <w:tc>
          <w:tcPr>
            <w:tcW w:type="dxa" w:w="21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Lehninger中譯 Ch6.1–6.2(p.216–240)</w:t>
            </w:r>
          </w:p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color w:val="5A7A85"/>
                <w:sz w:val="18"/>
                <w:szCs w:val="18"/>
              </w:rPr>
              <w:t xml:space="preserve">Manga Ch4(p.163)</w:t>
            </w:r>
          </w:p>
        </w:tc>
        <w:tc>
          <w:tcPr>
            <w:tcW w:type="dxa" w:w="25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解釋酵素如何降低活化能;指出活性部位</w:t>
            </w:r>
          </w:p>
        </w:tc>
        <w:tc>
          <w:tcPr>
            <w:tcW w:type="dxa" w:w="314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鎖與鑰匙 vs 誘導契合:實物演示</w:t>
            </w:r>
          </w:p>
        </w:tc>
      </w:tr>
      <w:tr>
        <w:tc>
          <w:tcPr>
            <w:tcW w:type="dxa" w:w="5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酵素(二):動力學與抑制</w:t>
            </w:r>
          </w:p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color w:val="5A7A85"/>
                <w:sz w:val="18"/>
                <w:szCs w:val="18"/>
              </w:rPr>
              <w:t xml:space="preserve">Enzyme (2)</w:t>
            </w:r>
          </w:p>
        </w:tc>
        <w:tc>
          <w:tcPr>
            <w:tcW w:type="dxa" w:w="2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Km、Vmax、米氏方程式、競爭性/非競爭性抑制、藥物實例</w:t>
            </w:r>
          </w:p>
        </w:tc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Lehninger中譯 Ch6.3–6.5(p.240–269)</w:t>
            </w:r>
          </w:p>
        </w:tc>
        <w:tc>
          <w:tcPr>
            <w:tcW w:type="dxa" w:w="2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從曲線讀出 Km 與 Vmax;分辨兩種抑制</w:t>
            </w:r>
          </w:p>
        </w:tc>
        <w:tc>
          <w:tcPr>
            <w:tcW w:type="dxa" w:w="31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作業2:抑制曲線判讀(選擇+標圖)</w:t>
            </w:r>
          </w:p>
        </w:tc>
      </w:tr>
      <w:tr>
        <w:tc>
          <w:tcPr>
            <w:tcW w:type="dxa" w:w="56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0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碳水化合物與醣生物學</w:t>
            </w:r>
          </w:p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color w:val="5A7A85"/>
                <w:sz w:val="18"/>
                <w:szCs w:val="18"/>
              </w:rPr>
              <w:t xml:space="preserve">Carbohydrate</w:t>
            </w:r>
          </w:p>
        </w:tc>
        <w:tc>
          <w:tcPr>
            <w:tcW w:type="dxa" w:w="25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單醣、醣苷鍵、雙醣、澱粉/肝醣/纖維素、醣蛋白</w:t>
            </w:r>
          </w:p>
        </w:tc>
        <w:tc>
          <w:tcPr>
            <w:tcW w:type="dxa" w:w="21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Lehninger中譯 Ch7(p.270–307)</w:t>
            </w:r>
          </w:p>
        </w:tc>
        <w:tc>
          <w:tcPr>
            <w:tcW w:type="dxa" w:w="25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區分澱粉與肝醣;說明醣苷鍵</w:t>
            </w:r>
          </w:p>
        </w:tc>
        <w:tc>
          <w:tcPr>
            <w:tcW w:type="dxa" w:w="314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食物含醣量實例(越南日常食物:phở、bánh mì)</w:t>
            </w:r>
          </w:p>
        </w:tc>
      </w:tr>
      <w:tr>
        <w:tc>
          <w:tcPr>
            <w:tcW w:type="dxa" w:w="5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期中複習 + 期中考</w:t>
            </w:r>
          </w:p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color w:val="5A7A85"/>
                <w:sz w:val="18"/>
                <w:szCs w:val="18"/>
              </w:rPr>
              <w:t xml:space="preserve">Ôn tập &amp; Thi giữa kỳ</w:t>
            </w:r>
          </w:p>
        </w:tc>
        <w:tc>
          <w:tcPr>
            <w:tcW w:type="dxa" w:w="2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>第 1–8 週統整</w:t>
            </w:r>
          </w:p>
        </w:tc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完成期中考</w:t>
            </w:r>
          </w:p>
        </w:tc>
        <w:tc>
          <w:tcPr>
            <w:tcW w:type="dxa" w:w="31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前 50 分複習(三語詞彙賓果);後 50 分考試</w:t>
            </w:r>
          </w:p>
        </w:tc>
      </w:tr>
      <w:tr>
        <w:tc>
          <w:tcPr>
            <w:tcW w:type="dxa" w:w="56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0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脂質與生物膜</w:t>
            </w:r>
          </w:p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color w:val="5A7A85"/>
                <w:sz w:val="18"/>
                <w:szCs w:val="18"/>
              </w:rPr>
              <w:t xml:space="preserve">Lipid và màng sinh học</w:t>
            </w:r>
          </w:p>
        </w:tc>
        <w:tc>
          <w:tcPr>
            <w:tcW w:type="dxa" w:w="25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脂肪酸、三酸甘油酯、磷脂、膽固醇、流體鑲嵌模型、膜轉運</w:t>
            </w:r>
          </w:p>
        </w:tc>
        <w:tc>
          <w:tcPr>
            <w:tcW w:type="dxa" w:w="21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Lehninger中譯 Ch10(p.390–415)、Ch11(p.416–440)</w:t>
            </w:r>
          </w:p>
        </w:tc>
        <w:tc>
          <w:tcPr>
            <w:tcW w:type="dxa" w:w="25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畫出磷脂雙層;分辨被動與主動運輸</w:t>
            </w:r>
          </w:p>
        </w:tc>
        <w:tc>
          <w:tcPr>
            <w:tcW w:type="dxa" w:w="314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作業3:膜結構標圖 + 轉運方式配對</w:t>
            </w:r>
          </w:p>
        </w:tc>
      </w:tr>
      <w:tr>
        <w:tc>
          <w:tcPr>
            <w:tcW w:type="dxa" w:w="5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核苷酸與核酸</w:t>
            </w:r>
          </w:p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color w:val="5A7A85"/>
                <w:sz w:val="18"/>
                <w:szCs w:val="18"/>
              </w:rPr>
              <w:t xml:space="preserve">Nucleotide và nucleic acid</w:t>
            </w:r>
          </w:p>
        </w:tc>
        <w:tc>
          <w:tcPr>
            <w:tcW w:type="dxa" w:w="2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鹼基、核苷酸、DNA 雙螺旋、鹼基配對、RNA 種類</w:t>
            </w:r>
          </w:p>
        </w:tc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Lehninger中譯 Ch8(p.308–347)</w:t>
            </w:r>
          </w:p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color w:val="5A7A85"/>
                <w:sz w:val="18"/>
                <w:szCs w:val="18"/>
              </w:rPr>
              <w:t xml:space="preserve">Manga Ch5(p.213)</w:t>
            </w:r>
          </w:p>
        </w:tc>
        <w:tc>
          <w:tcPr>
            <w:tcW w:type="dxa" w:w="2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寫出互補股序列;說出 DNA 與 RNA 三個差別</w:t>
            </w:r>
          </w:p>
        </w:tc>
        <w:tc>
          <w:tcPr>
            <w:tcW w:type="dxa" w:w="31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注意:越南語 base 有兩義(含氮鹼基/鹼),本週特別澄清</w:t>
            </w:r>
          </w:p>
        </w:tc>
      </w:tr>
      <w:tr>
        <w:tc>
          <w:tcPr>
            <w:tcW w:type="dxa" w:w="56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20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生物能量學:ΔG 與 ATP</w:t>
            </w:r>
          </w:p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color w:val="5A7A85"/>
                <w:sz w:val="18"/>
                <w:szCs w:val="18"/>
              </w:rPr>
              <w:t xml:space="preserve">Năng lượng sinh học</w:t>
            </w:r>
          </w:p>
        </w:tc>
        <w:tc>
          <w:tcPr>
            <w:tcW w:type="dxa" w:w="25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自由能、放能/吸能反應、能量耦合、ATP 循環、氧化還原</w:t>
            </w:r>
          </w:p>
        </w:tc>
        <w:tc>
          <w:tcPr>
            <w:tcW w:type="dxa" w:w="21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Lehninger中譯 Ch13(p.524–561)</w:t>
            </w:r>
          </w:p>
        </w:tc>
        <w:tc>
          <w:tcPr>
            <w:tcW w:type="dxa" w:w="25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判斷反應是否自發;說明 ATP 為何是能量貨幣</w:t>
            </w:r>
          </w:p>
        </w:tc>
        <w:tc>
          <w:tcPr>
            <w:tcW w:type="dxa" w:w="314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ΔG 正負號判斷:紅綠牌即時作答</w:t>
            </w:r>
          </w:p>
        </w:tc>
      </w:tr>
      <w:tr>
        <w:tc>
          <w:tcPr>
            <w:tcW w:type="dxa" w:w="5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糖解作用</w:t>
            </w:r>
          </w:p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color w:val="5A7A85"/>
                <w:sz w:val="18"/>
                <w:szCs w:val="18"/>
              </w:rPr>
              <w:t xml:space="preserve">Đường phân (Glycolysis)</w:t>
            </w:r>
          </w:p>
        </w:tc>
        <w:tc>
          <w:tcPr>
            <w:tcW w:type="dxa" w:w="2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十步驟概觀、投資期/收穫期、淨產率、發酵、調控酵素</w:t>
            </w:r>
          </w:p>
        </w:tc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Lehninger中譯 Ch14(p.562–590)</w:t>
            </w:r>
          </w:p>
        </w:tc>
        <w:tc>
          <w:tcPr>
            <w:tcW w:type="dxa" w:w="2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說出淨產能 2 ATP + 2 NADH;指出三個調控點</w:t>
            </w:r>
          </w:p>
        </w:tc>
        <w:tc>
          <w:tcPr>
            <w:tcW w:type="dxa" w:w="31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流程卡排序(不需寫字,排列即可)</w:t>
            </w:r>
          </w:p>
        </w:tc>
      </w:tr>
      <w:tr>
        <w:tc>
          <w:tcPr>
            <w:tcW w:type="dxa" w:w="56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20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檸檬酸循環</w:t>
            </w:r>
          </w:p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color w:val="5A7A85"/>
                <w:sz w:val="18"/>
                <w:szCs w:val="18"/>
              </w:rPr>
              <w:t xml:space="preserve">Chu trình acid citric</w:t>
            </w:r>
          </w:p>
        </w:tc>
        <w:tc>
          <w:tcPr>
            <w:tcW w:type="dxa" w:w="25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丙酮酸去羧、八步驟、產物盤點、回補反應、調控</w:t>
            </w:r>
          </w:p>
        </w:tc>
        <w:tc>
          <w:tcPr>
            <w:tcW w:type="dxa" w:w="21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Lehninger中譯 Ch16(p.648–677)</w:t>
            </w:r>
          </w:p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color w:val="5A7A85"/>
                <w:sz w:val="18"/>
                <w:szCs w:val="18"/>
              </w:rPr>
              <w:t xml:space="preserve">Manga Ch2(p.53)</w:t>
            </w:r>
          </w:p>
        </w:tc>
        <w:tc>
          <w:tcPr>
            <w:tcW w:type="dxa" w:w="25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盤點一圈的 NADH/FADH₂/GTP 產量</w:t>
            </w:r>
          </w:p>
        </w:tc>
        <w:tc>
          <w:tcPr>
            <w:tcW w:type="dxa" w:w="314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作業4:循環圖填空(填英文即可)</w:t>
            </w:r>
          </w:p>
        </w:tc>
      </w:tr>
      <w:tr>
        <w:tc>
          <w:tcPr>
            <w:tcW w:type="dxa" w:w="5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氧化磷酸化與電子傳遞鏈</w:t>
            </w:r>
          </w:p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color w:val="5A7A85"/>
                <w:sz w:val="18"/>
                <w:szCs w:val="18"/>
              </w:rPr>
              <w:t xml:space="preserve">Phosphoryl hóa oxy hóa</w:t>
            </w:r>
          </w:p>
        </w:tc>
        <w:tc>
          <w:tcPr>
            <w:tcW w:type="dxa" w:w="2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複合體 I–IV、質子梯度、化學滲透、ATP 合成酶、解偶聯</w:t>
            </w:r>
          </w:p>
        </w:tc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Lehninger中譯 Ch19(p.740–783)</w:t>
            </w:r>
          </w:p>
        </w:tc>
        <w:tc>
          <w:tcPr>
            <w:tcW w:type="dxa" w:w="2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依序說出電子流路徑;解釋質子梯度如何造 ATP</w:t>
            </w:r>
          </w:p>
        </w:tc>
        <w:tc>
          <w:tcPr>
            <w:tcW w:type="dxa" w:w="31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氰化物/解偶聯劑中毒案例(圖像推理)</w:t>
            </w:r>
          </w:p>
        </w:tc>
      </w:tr>
      <w:tr>
        <w:tc>
          <w:tcPr>
            <w:tcW w:type="dxa" w:w="56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20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脂肪酸氧化與胺基酸代謝</w:t>
            </w:r>
          </w:p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color w:val="5A7A85"/>
                <w:sz w:val="18"/>
                <w:szCs w:val="18"/>
              </w:rPr>
              <w:t xml:space="preserve">Oxy hóa acid béo &amp; chuyển hóa amino acid</w:t>
            </w:r>
          </w:p>
        </w:tc>
        <w:tc>
          <w:tcPr>
            <w:tcW w:type="dxa" w:w="25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β-氧化、酮體、轉胺作用、尿素循環、氨毒性</w:t>
            </w:r>
          </w:p>
        </w:tc>
        <w:tc>
          <w:tcPr>
            <w:tcW w:type="dxa" w:w="21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Lehninger中譯 Ch17(p.678–703)、Ch18(p.704–739)</w:t>
            </w:r>
          </w:p>
        </w:tc>
        <w:tc>
          <w:tcPr>
            <w:tcW w:type="dxa" w:w="25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計算 C16 脂肪酸的 ATP 產量;說明尿素循環的用途</w:t>
            </w:r>
          </w:p>
        </w:tc>
        <w:tc>
          <w:tcPr>
            <w:tcW w:type="dxa" w:w="314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飢餓與生酮飲食討論(可用越南語小組討論,中文匯報)</w:t>
            </w:r>
          </w:p>
        </w:tc>
      </w:tr>
      <w:tr>
        <w:tc>
          <w:tcPr>
            <w:tcW w:type="dxa" w:w="5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代謝整合與激素調節</w:t>
            </w:r>
          </w:p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color w:val="5A7A85"/>
                <w:sz w:val="18"/>
                <w:szCs w:val="18"/>
              </w:rPr>
              <w:t xml:space="preserve">Tích hợp chuyển hóa</w:t>
            </w:r>
          </w:p>
        </w:tc>
        <w:tc>
          <w:tcPr>
            <w:tcW w:type="dxa" w:w="2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組織分工、胰島素/升糖素、飽食-飢餓循環、糖尿病</w:t>
            </w:r>
          </w:p>
        </w:tc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Lehninger中譯 Ch23(p.936–983)</w:t>
            </w:r>
          </w:p>
        </w:tc>
        <w:tc>
          <w:tcPr>
            <w:tcW w:type="dxa" w:w="2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說明飯後與飢餓時肝臟做什麼;解釋第二型糖尿病</w:t>
            </w:r>
          </w:p>
        </w:tc>
        <w:tc>
          <w:tcPr>
            <w:tcW w:type="dxa" w:w="31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總整合圖:小組共同繪製一張代謝地圖</w:t>
            </w:r>
          </w:p>
        </w:tc>
      </w:tr>
      <w:tr>
        <w:tc>
          <w:tcPr>
            <w:tcW w:type="dxa" w:w="56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20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總複習 + 期末考</w:t>
            </w:r>
          </w:p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color w:val="5A7A85"/>
                <w:sz w:val="18"/>
                <w:szCs w:val="18"/>
              </w:rPr>
              <w:t xml:space="preserve">Ôn tập tổng hợp &amp; Thi cuối kỳ</w:t>
            </w:r>
          </w:p>
        </w:tc>
        <w:tc>
          <w:tcPr>
            <w:tcW w:type="dxa" w:w="25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第 9–17 週為主,含前段核心概念</w:t>
            </w:r>
          </w:p>
        </w:tc>
        <w:tc>
          <w:tcPr>
            <w:tcW w:type="dxa" w:w="21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完成期末考</w:t>
            </w:r>
          </w:p>
        </w:tc>
        <w:tc>
          <w:tcPr>
            <w:tcW w:type="dxa" w:w="314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前 50 分複習;後 50 分考試</w:t>
            </w:r>
          </w:p>
        </w:tc>
      </w:tr>
    </w:tbl>
    <w:p>
      <w:pPr>
        <w:spacing w:after="0" w:line="300"/>
      </w:pPr>
      <w:r>
        <w:rPr>
          <w:rFonts w:ascii="DengXian" w:cs="DengXian" w:eastAsia="DengXian" w:hAnsi="DengXian"/>
          <w:i/>
          <w:iCs/>
          <w:sz w:val="18"/>
          <w:szCs w:val="18"/>
        </w:rPr>
        <w:t xml:space="preserve">頁碼皆為 PDF 檔頁碼,對應資料夾內《Lehninger 第7版繁中譯本》與 Manga Guide 檔案。</w:t>
      </w:r>
    </w:p>
    <w:p>
      <w:pPr>
        <w:sectPr>
          <w:pgSz w:w="16838" w:h="11906" w:orient="landscape"/>
          <w:pgMar w:top="800" w:right="800" w:bottom="800" w:left="800" w:header="708" w:footer="708" w:gutter="0"/>
          <w:pgNumType/>
          <w:docGrid w:linePitch="360"/>
        </w:sectPr>
      </w:pPr>
    </w:p>
    <w:p>
      <w:pPr>
        <w:pStyle w:val="Heading1"/>
        <w:spacing w:after="160" w:before="320"/>
      </w:pPr>
      <w:r>
        <w:rPr>
          <w:rFonts w:ascii="DengXian" w:cs="DengXian" w:eastAsia="DengXian" w:hAnsi="DengXian"/>
          <w:b/>
          <w:bCs/>
          <w:color w:val="1F4E5F"/>
          <w:sz w:val="30"/>
          <w:szCs w:val="30"/>
        </w:rPr>
        <w:t xml:space="preserve">五、每週 2 小時的課堂流程模板</w:t>
      </w:r>
    </w:p>
    <w:p>
      <w:pPr>
        <w:spacing w:after="140" w:line="300"/>
      </w:pPr>
      <w:r>
        <w:rPr>
          <w:rFonts w:ascii="DengXian" w:cs="DengXian" w:eastAsia="DengXian" w:hAnsi="DengXian"/>
          <w:sz w:val="22"/>
          <w:szCs w:val="22"/>
        </w:rPr>
        <w:t xml:space="preserve">固定流程本身就是一種語言支援:學生知道接下來會發生什麼,聽力負荷立刻下降。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200"/>
        <w:gridCol w:w="6800"/>
      </w:tblGrid>
      <w:tr>
        <w:trPr>
          <w:tblHeader/>
        </w:trPr>
        <w:tc>
          <w:tcPr>
            <w:tcW w:type="dxa" w:w="1200"/>
            <w:shd w:fill="D6EAF0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DengXian" w:cs="DengXian" w:eastAsia="DengXian" w:hAnsi="DengXian"/>
                <w:b/>
                <w:bCs/>
                <w:sz w:val="18"/>
                <w:szCs w:val="18"/>
              </w:rPr>
              <w:t xml:space="preserve">時間</w:t>
            </w:r>
          </w:p>
        </w:tc>
        <w:tc>
          <w:tcPr>
            <w:tcW w:type="dxa" w:w="1200"/>
            <w:shd w:fill="D6EAF0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DengXian" w:cs="DengXian" w:eastAsia="DengXian" w:hAnsi="DengXian"/>
                <w:b/>
                <w:bCs/>
                <w:sz w:val="18"/>
                <w:szCs w:val="18"/>
              </w:rPr>
              <w:t xml:space="preserve">區塊</w:t>
            </w:r>
          </w:p>
        </w:tc>
        <w:tc>
          <w:tcPr>
            <w:tcW w:type="dxa" w:w="6800"/>
            <w:shd w:fill="D6EAF0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DengXian" w:cs="DengXian" w:eastAsia="DengXian" w:hAnsi="DengXian"/>
                <w:b/>
                <w:bCs/>
                <w:sz w:val="18"/>
                <w:szCs w:val="18"/>
              </w:rPr>
              <w:t xml:space="preserve">內容與語言處理</w:t>
            </w:r>
          </w:p>
        </w:tc>
      </w:tr>
      <w:tr>
        <w:tc>
          <w:tcPr>
            <w:tcW w:type="dxa" w:w="1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0–10 分</w:t>
            </w:r>
          </w:p>
        </w:tc>
        <w:tc>
          <w:tcPr>
            <w:tcW w:type="dxa" w:w="1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詞彙暖身</w:t>
            </w:r>
          </w:p>
        </w:tc>
        <w:tc>
          <w:tcPr>
            <w:tcW w:type="dxa" w:w="6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上週術語小測(5 題,看圖選中文)。當場對答案。</w:t>
            </w:r>
          </w:p>
        </w:tc>
      </w:tr>
      <w:tr>
        <w:tc>
          <w:tcPr>
            <w:tcW w:type="dxa" w:w="12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10–45 分</w:t>
            </w:r>
          </w:p>
        </w:tc>
        <w:tc>
          <w:tcPr>
            <w:tcW w:type="dxa" w:w="12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概念 I</w:t>
            </w:r>
          </w:p>
        </w:tc>
        <w:tc>
          <w:tcPr>
            <w:tcW w:type="dxa" w:w="68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先圖後字。每張投影片一個概念、一張圖、不超過 20 字中文。</w:t>
            </w:r>
          </w:p>
        </w:tc>
      </w:tr>
      <w:tr>
        <w:tc>
          <w:tcPr>
            <w:tcW w:type="dxa" w:w="1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45–55 分</w:t>
            </w:r>
          </w:p>
        </w:tc>
        <w:tc>
          <w:tcPr>
            <w:tcW w:type="dxa" w:w="1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休息 / 緩衝</w:t>
            </w:r>
          </w:p>
        </w:tc>
        <w:tc>
          <w:tcPr>
            <w:tcW w:type="dxa" w:w="6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可用越南語向同學或教師確認不懂之處。</w:t>
            </w:r>
          </w:p>
        </w:tc>
      </w:tr>
      <w:tr>
        <w:tc>
          <w:tcPr>
            <w:tcW w:type="dxa" w:w="12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55–85 分</w:t>
            </w:r>
          </w:p>
        </w:tc>
        <w:tc>
          <w:tcPr>
            <w:tcW w:type="dxa" w:w="12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概念 II</w:t>
            </w:r>
          </w:p>
        </w:tc>
        <w:tc>
          <w:tcPr>
            <w:tcW w:type="dxa" w:w="68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同上。中段插入一次「轉頭跟同學說一遍」的口說練習。</w:t>
            </w:r>
          </w:p>
        </w:tc>
      </w:tr>
      <w:tr>
        <w:tc>
          <w:tcPr>
            <w:tcW w:type="dxa" w:w="1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85–100 分</w:t>
            </w:r>
          </w:p>
        </w:tc>
        <w:tc>
          <w:tcPr>
            <w:tcW w:type="dxa" w:w="1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應用與收束</w:t>
            </w:r>
          </w:p>
        </w:tc>
        <w:tc>
          <w:tcPr>
            <w:tcW w:type="dxa" w:w="6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標圖或配對練習;預告並發下下週術語表(課前預習用)。</w:t>
            </w:r>
          </w:p>
        </w:tc>
      </w:tr>
    </w:tbl>
    <w:p>
      <w:pPr>
        <w:pStyle w:val="Heading1"/>
        <w:spacing w:after="160" w:before="320"/>
      </w:pPr>
      <w:r>
        <w:rPr>
          <w:rFonts w:ascii="DengXian" w:cs="DengXian" w:eastAsia="DengXian" w:hAnsi="DengXian"/>
          <w:b/>
          <w:bCs/>
          <w:color w:val="1F4E5F"/>
          <w:sz w:val="30"/>
          <w:szCs w:val="30"/>
        </w:rPr>
        <w:t xml:space="preserve">六、評量方式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200"/>
        <w:gridCol w:w="4600"/>
      </w:tblGrid>
      <w:tr>
        <w:trPr>
          <w:tblHeader/>
        </w:trPr>
        <w:tc>
          <w:tcPr>
            <w:tcW w:type="dxa" w:w="3400"/>
            <w:shd w:fill="D6EAF0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DengXian" w:cs="DengXian" w:eastAsia="DengXian" w:hAnsi="DengXian"/>
                <w:b/>
                <w:bCs/>
                <w:sz w:val="18"/>
                <w:szCs w:val="18"/>
              </w:rPr>
              <w:t xml:space="preserve">項目</w:t>
            </w:r>
          </w:p>
        </w:tc>
        <w:tc>
          <w:tcPr>
            <w:tcW w:type="dxa" w:w="1200"/>
            <w:shd w:fill="D6EAF0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DengXian" w:cs="DengXian" w:eastAsia="DengXian" w:hAnsi="DengXian"/>
                <w:b/>
                <w:bCs/>
                <w:sz w:val="18"/>
                <w:szCs w:val="18"/>
              </w:rPr>
              <w:t xml:space="preserve">比重</w:t>
            </w:r>
          </w:p>
        </w:tc>
        <w:tc>
          <w:tcPr>
            <w:tcW w:type="dxa" w:w="4600"/>
            <w:shd w:fill="D6EAF0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DengXian" w:cs="DengXian" w:eastAsia="DengXian" w:hAnsi="DengXian"/>
                <w:b/>
                <w:bCs/>
                <w:sz w:val="18"/>
                <w:szCs w:val="18"/>
              </w:rPr>
              <w:t xml:space="preserve">說明</w:t>
            </w:r>
          </w:p>
        </w:tc>
      </w:tr>
      <w:tr>
        <w:tc>
          <w:tcPr>
            <w:tcW w:type="dxa" w:w="3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出席與課堂參與</w:t>
            </w:r>
          </w:p>
        </w:tc>
        <w:tc>
          <w:tcPr>
            <w:tcW w:type="dxa" w:w="1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10%</w:t>
            </w:r>
          </w:p>
        </w:tc>
        <w:tc>
          <w:tcPr>
            <w:tcW w:type="dxa" w:w="4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含小組口說參與;用固定句型即可得分</w:t>
            </w:r>
          </w:p>
        </w:tc>
      </w:tr>
      <w:tr>
        <w:tc>
          <w:tcPr>
            <w:tcW w:type="dxa" w:w="34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每週詞彙小測</w:t>
            </w:r>
          </w:p>
        </w:tc>
        <w:tc>
          <w:tcPr>
            <w:tcW w:type="dxa" w:w="12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15%</w:t>
            </w:r>
          </w:p>
        </w:tc>
        <w:tc>
          <w:tcPr>
            <w:tcW w:type="dxa" w:w="46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每週 5 題、5 分鐘;共 16 次,取最佳 12 次計分</w:t>
            </w:r>
          </w:p>
        </w:tc>
      </w:tr>
      <w:tr>
        <w:tc>
          <w:tcPr>
            <w:tcW w:type="dxa" w:w="3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圖表作業(共 4 次)</w:t>
            </w:r>
          </w:p>
        </w:tc>
        <w:tc>
          <w:tcPr>
            <w:tcW w:type="dxa" w:w="1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20%</w:t>
            </w:r>
          </w:p>
        </w:tc>
        <w:tc>
          <w:tcPr>
            <w:tcW w:type="dxa" w:w="4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第 4、7、10、14 週各一次;標圖、判讀、配對為主</w:t>
            </w:r>
          </w:p>
        </w:tc>
      </w:tr>
      <w:tr>
        <w:tc>
          <w:tcPr>
            <w:tcW w:type="dxa" w:w="34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>期中考(第 9 週)</w:t>
            </w:r>
          </w:p>
        </w:tc>
        <w:tc>
          <w:tcPr>
            <w:tcW w:type="dxa" w:w="12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25%</w:t>
            </w:r>
          </w:p>
        </w:tc>
        <w:tc>
          <w:tcPr>
            <w:tcW w:type="dxa" w:w="46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>第 1–8 週;題型:標圖 40%、配對 20%、選擇 20%、計算 20%</w:t>
            </w:r>
          </w:p>
        </w:tc>
      </w:tr>
      <w:tr>
        <w:tc>
          <w:tcPr>
            <w:tcW w:type="dxa" w:w="3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期末考(第 18 週)</w:t>
            </w:r>
          </w:p>
        </w:tc>
        <w:tc>
          <w:tcPr>
            <w:tcW w:type="dxa" w:w="1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30%</w:t>
            </w:r>
          </w:p>
        </w:tc>
        <w:tc>
          <w:tcPr>
            <w:tcW w:type="dxa" w:w="4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>第 10–17 週為主;題型同上,另加一題代謝流程整合</w:t>
            </w:r>
          </w:p>
        </w:tc>
      </w:tr>
    </w:tbl>
    <w:p>
      <w:pPr>
        <w:spacing w:after="0" w:line="300"/>
      </w:pPr>
      <w:r>
        <w:rPr>
          <w:rFonts w:ascii="DengXian" w:cs="DengXian" w:eastAsia="DengXian" w:hAnsi="DengXian"/>
          <w:sz w:val="22"/>
          <w:szCs w:val="22"/>
        </w:rPr>
        <w:t xml:space="preserve">考試作答語言:中文題幹,關鍵術語附英文。需文字說明的題目,可用中文、英文或越南語作答,不因語言扣分。</w:t>
      </w:r>
    </w:p>
    <w:p>
      <w:pPr>
        <w:pStyle w:val="Heading1"/>
        <w:spacing w:after="160" w:before="320"/>
      </w:pPr>
      <w:r>
        <w:rPr>
          <w:rFonts w:ascii="DengXian" w:cs="DengXian" w:eastAsia="DengXian" w:hAnsi="DengXian"/>
          <w:b/>
          <w:bCs/>
          <w:color w:val="1F4E5F"/>
          <w:sz w:val="30"/>
          <w:szCs w:val="30"/>
        </w:rPr>
        <w:t xml:space="preserve">七、語言支援機制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00"/>
      </w:tblGrid>
      <w:tr>
        <w:trPr>
          <w:tblHeader/>
        </w:trPr>
        <w:tc>
          <w:tcPr>
            <w:tcW w:type="dxa" w:w="2400"/>
            <w:shd w:fill="D6EAF0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DengXian" w:cs="DengXian" w:eastAsia="DengXian" w:hAnsi="DengXian"/>
                <w:b/>
                <w:bCs/>
                <w:sz w:val="18"/>
                <w:szCs w:val="18"/>
              </w:rPr>
              <w:t xml:space="preserve">機制</w:t>
            </w:r>
          </w:p>
        </w:tc>
        <w:tc>
          <w:tcPr>
            <w:tcW w:type="dxa" w:w="6600"/>
            <w:shd w:fill="D6EAF0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DengXian" w:cs="DengXian" w:eastAsia="DengXian" w:hAnsi="DengXian"/>
                <w:b/>
                <w:bCs/>
                <w:sz w:val="18"/>
                <w:szCs w:val="18"/>
              </w:rPr>
              <w:t xml:space="preserve">做法</w:t>
            </w:r>
          </w:p>
        </w:tc>
      </w:tr>
      <w:tr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三語詞彙表</w:t>
            </w:r>
          </w:p>
        </w:tc>
        <w:tc>
          <w:tcPr>
            <w:tcW w:type="dxa" w:w="6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隨附 Excel 檔,依週次分類。含中文、漢語拼音、Tiếng Việt、English、易混淆註記。每週上課前一週發放,要求課前看過。</w:t>
            </w:r>
          </w:p>
        </w:tc>
      </w:tr>
      <w:tr>
        <w:tc>
          <w:tcPr>
            <w:tcW w:type="dxa" w:w="24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術語發音</w:t>
            </w:r>
          </w:p>
        </w:tc>
        <w:tc>
          <w:tcPr>
            <w:tcW w:type="dxa" w:w="66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每週前 10 分鐘帶讀。中文生化術語多為複合詞(例:磷酸化 = 磷酸 + 化),拆解構詞法可大幅減輕記憶量。</w:t>
            </w:r>
          </w:p>
        </w:tc>
      </w:tr>
      <w:tr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白板關鍵句</w:t>
            </w:r>
          </w:p>
        </w:tc>
        <w:tc>
          <w:tcPr>
            <w:tcW w:type="dxa" w:w="6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每個概念的一句話結論,寫在白板固定位置,整堂課不擦。</w:t>
            </w:r>
          </w:p>
        </w:tc>
      </w:tr>
      <w:tr>
        <w:tc>
          <w:tcPr>
            <w:tcW w:type="dxa" w:w="24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越南語求助管道</w:t>
            </w:r>
          </w:p>
        </w:tc>
        <w:tc>
          <w:tcPr>
            <w:tcW w:type="dxa" w:w="66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休息時間與課後開放越南語提問;若班上有中文較好的學生,可指定為同儕翻譯。</w:t>
            </w:r>
          </w:p>
        </w:tc>
      </w:tr>
      <w:tr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英文安全網</w:t>
            </w:r>
          </w:p>
        </w:tc>
        <w:tc>
          <w:tcPr>
            <w:tcW w:type="dxa" w:w="6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所有圖表保留英文標示。學生看不懂中文標籤時,英文是後備通道。</w:t>
            </w:r>
          </w:p>
        </w:tc>
      </w:tr>
    </w:tbl>
    <w:p>
      <w:pPr>
        <w:pStyle w:val="Heading1"/>
        <w:spacing w:after="160" w:before="320"/>
      </w:pPr>
      <w:r>
        <w:rPr>
          <w:rFonts w:ascii="DengXian" w:cs="DengXian" w:eastAsia="DengXian" w:hAnsi="DengXian"/>
          <w:b/>
          <w:bCs/>
          <w:color w:val="1F4E5F"/>
          <w:sz w:val="30"/>
          <w:szCs w:val="30"/>
        </w:rPr>
        <w:t xml:space="preserve">八、範圍取捨說明(請務必確認)</w:t>
      </w:r>
    </w:p>
    <w:p>
      <w:pPr>
        <w:spacing w:after="140" w:line="300"/>
      </w:pPr>
      <w:r>
        <w:rPr>
          <w:rFonts w:ascii="DengXian" w:cs="DengXian" w:eastAsia="DengXian" w:hAnsi="DengXian"/>
          <w:sz w:val="22"/>
          <w:szCs w:val="22"/>
        </w:rPr>
        <w:t xml:space="preserve">36 小時要涵蓋完整生化,必須取捨。本大綱做了以下決定: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DengXian" w:cs="DengXian" w:eastAsia="DengXian" w:hAnsi="DengXian"/>
          <w:sz w:val="22"/>
          <w:szCs w:val="22"/>
        </w:rPr>
        <w:t xml:space="preserve">涵蓋:結構與催化(Ch 1–8、10、11)、生物能量與代謝(Ch 13、14、16–19、23)。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DengXian" w:cs="DengXian" w:eastAsia="DengXian" w:hAnsi="DengXian"/>
          <w:sz w:val="22"/>
          <w:szCs w:val="22"/>
        </w:rPr>
        <w:t xml:space="preserve">捨棄:分子生物學段落(Ch 24–28,DNA 複製、轉錄、轉譯、基因調控)。這通常是「分子生物學」的獨立課程範圍。第 11 週僅涵蓋核酸的結構。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DengXian" w:cs="DengXian" w:eastAsia="DengXian" w:hAnsi="DengXian"/>
          <w:sz w:val="22"/>
          <w:szCs w:val="22"/>
        </w:rPr>
        <w:t xml:space="preserve">捨棄:光合作用(Ch 20)、脂質與胺基酸的生合成(Ch 21、22)、訊息傳遞(Ch 12)。</w:t>
      </w:r>
    </w:p>
    <w:p>
      <w:pPr>
        <w:spacing w:after="0" w:line="300"/>
      </w:pPr>
      <w:r>
        <w:rPr>
          <w:rFonts w:ascii="DengXian" w:cs="DengXian" w:eastAsia="DengXian" w:hAnsi="DengXian"/>
          <w:sz w:val="22"/>
          <w:szCs w:val="22"/>
        </w:rPr>
        <w:t xml:space="preserve">如果貴系沒有另開分子生物學,建議改為:刪去第 5 週(蛋白質功能)與第 17 週(代謝整合),挪出 2 週給「DNA 複製與轉錄」及「轉譯與基因表現」。請告知,我可以直接改版。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engXian" w:cs="DengXian" w:eastAsia="DengXian" w:hAnsi="DengXi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2026-07-15T13:36:14.954Z</dcterms:created>
  <dcterms:modified xsi:type="dcterms:W3CDTF">2026-07-15T13:36:14.954Z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