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Arm-BCI Copilot — Progress Report</w:t>
      </w:r>
    </w:p>
    <w:p>
      <w:r>
        <w:rPr>
          <w:b w:val="0"/>
          <w:i/>
        </w:rPr>
        <w:t>Where the improvement headroom actually is: the arm-phase metric is saturated; the lever is language decoding at the word and sentence level</w:t>
      </w:r>
    </w:p>
    <w:p>
      <w:r>
        <w:rPr>
          <w:b w:val="0"/>
          <w:i w:val="0"/>
          <w:sz w:val="18"/>
        </w:rPr>
        <w:t>July 22, 2026</w:t>
      </w:r>
    </w:p>
    <w:p>
      <w:pPr>
        <w:pStyle w:val="Heading1"/>
      </w:pPr>
      <w:r>
        <w:rPr>
          <w:color w:val="1F4E79"/>
        </w:rPr>
        <w:t>Overview</w:t>
      </w:r>
    </w:p>
    <w:p>
      <w:r>
        <w:rPr>
          <w:b w:val="0"/>
          <w:i w:val="0"/>
        </w:rPr>
        <w:t>This report tests the direction proposed on 7/20 — a closed-loop copilot evaluated against a subject surrogate — and, alongside it, the language axis. Both were built and measured. The result is a clear redirection, supported by numbers rather than argument.</w:t>
      </w:r>
    </w:p>
    <w:p>
      <w:pPr>
        <w:pStyle w:val="ListBullet"/>
      </w:pPr>
      <w:r>
        <w:rPr>
          <w:b/>
        </w:rPr>
        <w:t xml:space="preserve">The arm phase is near its ceiling. </w:t>
      </w:r>
      <w:r>
        <w:t>Arm-phase target acquisition is, under the lab metric (endpoint angle at a fixed trial length), an 8-way classification problem — and it is saturated. Every lever tried gives &lt;= ~1 pp: a better trajectory classifier (in fact worse than the raw decoder), training-data composition (+0.9), a direction language prior (+0.7), and closed-loop feedback (+0.26).</w:t>
      </w:r>
    </w:p>
    <w:p>
      <w:pPr>
        <w:pStyle w:val="ListBullet"/>
      </w:pPr>
      <w:r>
        <w:rPr>
          <w:b/>
        </w:rPr>
        <w:t xml:space="preserve">Why. </w:t>
      </w:r>
      <w:r>
        <w:t>The raw decoder endpoint is a STRONGER target estimate than our trained LSTM classifier. Trajectory-only inference is exhausted; the copilot’s ~+1 pp sits at that ceiling.</w:t>
      </w:r>
    </w:p>
    <w:p>
      <w:pPr>
        <w:pStyle w:val="ListBullet"/>
      </w:pPr>
      <w:r>
        <w:rPr>
          <w:b/>
        </w:rPr>
        <w:t xml:space="preserve">Closed-loop: measured, not just argued. </w:t>
      </w:r>
      <w:r>
        <w:t>the surrogate we proposed on 7/20 was built and tested. The closed-loop feedback effect is real but tiny (+0.26 pp) and metric-limited — the fixed-length endpoint metric cannot reward the acquisition-time and hold benefits that make closed-loop copilots powerful (Lee et al. 2025).</w:t>
      </w:r>
    </w:p>
    <w:p>
      <w:pPr>
        <w:pStyle w:val="ListBullet"/>
      </w:pPr>
      <w:r>
        <w:rPr>
          <w:b/>
        </w:rPr>
        <w:t xml:space="preserve">The real headroom. </w:t>
      </w:r>
      <w:r>
        <w:t>language decoding is the large lever. Whole-word accuracy goes from ~1% (motor only) to ~41% with a word model; sentence-level joint segmentation doubles word accuracy over a naive decoder. This is Problem 2 in the original brief, and it is where the effort should go.</w:t>
      </w:r>
    </w:p>
    <w:p>
      <w:pPr>
        <w:pStyle w:val="Heading1"/>
      </w:pPr>
      <w:r>
        <w:rPr>
          <w:color w:val="1F4E79"/>
        </w:rPr>
        <w:t>1. What the metric makes this problem</w:t>
      </w:r>
    </w:p>
    <w:p>
      <w:r>
        <w:rPr>
          <w:b w:val="0"/>
          <w:i w:val="0"/>
        </w:rPr>
        <w:t>Acquisition is scored by the cursor’s endpoint angle at a fixed trial length — the cursor need only land in the correct 22.5° wedge. Stripped down, this is not a control problem but an 8-way classification of the target from the trajectory. The achievable ceiling is therefore the accuracy of the best target estimate available from the trajectory, and no control law can exceed it. Every result below is read through that lens.</w:t>
      </w:r>
    </w:p>
    <w:p>
      <w:pPr>
        <w:pStyle w:val="Heading1"/>
      </w:pPr>
      <w:r>
        <w:rPr>
          <w:color w:val="1F4E79"/>
        </w:rPr>
        <w:t>2. Trajectory-only inference is saturated</w:t>
      </w:r>
    </w:p>
    <w:p>
      <w:r>
        <w:rPr>
          <w:b w:val="0"/>
          <w:i w:val="0"/>
        </w:rPr>
        <w:t>We compared the raw decoder endpoint, our copilot, and reading the classifier out directly (held-out test, mean ± sd over 3 seeds):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r>
          </w:p>
        </w:tc>
        <w:tc>
          <w:tcPr>
            <w:tcW w:type="dxa" w:w="4320"/>
          </w:tcPr>
          <w:p>
            <w:r>
              <w:rPr>
                <w:b/>
                <w:sz w:val="19"/>
              </w:rPr>
              <w:t>accuracy</w:t>
            </w:r>
          </w:p>
        </w:tc>
      </w:tr>
      <w:tr>
        <w:tc>
          <w:tcPr>
            <w:tcW w:type="dxa" w:w="4320"/>
          </w:tcPr>
          <w:p>
            <w:r>
              <w:rPr>
                <w:sz w:val="19"/>
              </w:rPr>
              <w:t>raw BCI endpoint</w:t>
            </w:r>
          </w:p>
        </w:tc>
        <w:tc>
          <w:tcPr>
            <w:tcW w:type="dxa" w:w="4320"/>
          </w:tcPr>
          <w:p>
            <w:r>
              <w:rPr>
                <w:sz w:val="19"/>
              </w:rPr>
              <w:t>53.3 ± 0.0</w:t>
            </w:r>
          </w:p>
        </w:tc>
      </w:tr>
      <w:tr>
        <w:tc>
          <w:tcPr>
            <w:tcW w:type="dxa" w:w="4320"/>
          </w:tcPr>
          <w:p>
            <w:r>
              <w:rPr>
                <w:sz w:val="19"/>
              </w:rPr>
              <w:t>copilot (corrective velocity)</w:t>
            </w:r>
          </w:p>
        </w:tc>
        <w:tc>
          <w:tcPr>
            <w:tcW w:type="dxa" w:w="4320"/>
          </w:tcPr>
          <w:p>
            <w:r>
              <w:rPr>
                <w:sz w:val="19"/>
              </w:rPr>
              <w:t>54.5 ± 0.2</w:t>
            </w:r>
          </w:p>
        </w:tc>
      </w:tr>
      <w:tr>
        <w:tc>
          <w:tcPr>
            <w:tcW w:type="dxa" w:w="4320"/>
          </w:tcPr>
          <w:p>
            <w:r>
              <w:rPr>
                <w:sz w:val="19"/>
              </w:rPr>
              <w:t>classifier readout, final tick</w:t>
            </w:r>
          </w:p>
        </w:tc>
        <w:tc>
          <w:tcPr>
            <w:tcW w:type="dxa" w:w="4320"/>
          </w:tcPr>
          <w:p>
            <w:r>
              <w:rPr>
                <w:sz w:val="19"/>
              </w:rPr>
              <w:t>50.5 ± 1.7</w:t>
            </w:r>
          </w:p>
        </w:tc>
      </w:tr>
      <w:tr>
        <w:tc>
          <w:tcPr>
            <w:tcW w:type="dxa" w:w="4320"/>
          </w:tcPr>
          <w:p>
            <w:r>
              <w:rPr>
                <w:sz w:val="19"/>
              </w:rPr>
              <w:t>classifier readout, aggregated</w:t>
            </w:r>
          </w:p>
        </w:tc>
        <w:tc>
          <w:tcPr>
            <w:tcW w:type="dxa" w:w="4320"/>
          </w:tcPr>
          <w:p>
            <w:r>
              <w:rPr>
                <w:sz w:val="19"/>
              </w:rPr>
              <w:t>45.7 ± 1.9</w:t>
            </w:r>
          </w:p>
        </w:tc>
      </w:tr>
      <w:tr>
        <w:tc>
          <w:tcPr>
            <w:tcW w:type="dxa" w:w="4320"/>
          </w:tcPr>
          <w:p>
            <w:r>
              <w:rPr>
                <w:sz w:val="19"/>
              </w:rPr>
              <w:t>on disagreements: classifier right</w:t>
            </w:r>
          </w:p>
        </w:tc>
        <w:tc>
          <w:tcPr>
            <w:tcW w:type="dxa" w:w="4320"/>
          </w:tcPr>
          <w:p>
            <w:r>
              <w:rPr>
                <w:sz w:val="19"/>
              </w:rPr>
              <w:t>23.3 ± 2.6%</w:t>
            </w:r>
          </w:p>
        </w:tc>
      </w:tr>
      <w:tr>
        <w:tc>
          <w:tcPr>
            <w:tcW w:type="dxa" w:w="4320"/>
          </w:tcPr>
          <w:p>
            <w:r>
              <w:rPr>
                <w:sz w:val="19"/>
              </w:rPr>
              <w:t>on disagreements: raw right</w:t>
            </w:r>
          </w:p>
        </w:tc>
        <w:tc>
          <w:tcPr>
            <w:tcW w:type="dxa" w:w="4320"/>
          </w:tcPr>
          <w:p>
            <w:r>
              <w:rPr>
                <w:sz w:val="19"/>
              </w:rPr>
              <w:t>38.3 ± 0.5%</w:t>
            </w:r>
          </w:p>
        </w:tc>
      </w:tr>
    </w:tbl>
    <w:p>
      <w:r>
        <w:rPr>
          <w:b w:val="0"/>
          <w:i/>
        </w:rPr>
        <w:t>Reading the classifier out directly is worse than the raw endpoint, and when the two disagree (54% of trials) the raw endpoint is right ~1.6× more often. So the raw decoder already extracts essentially all the target information the trajectory contains; our LSTM does not beat it. The copilot earns its ~+1 pp precisely by mostly trusting the raw endpoint and nudging gently. There is little trajectory-only headroom left.</w:t>
      </w:r>
    </w:p>
    <w:p>
      <w:pPr>
        <w:pStyle w:val="Heading1"/>
      </w:pPr>
      <w:r>
        <w:rPr>
          <w:color w:val="1F4E79"/>
        </w:rPr>
        <w:t>3. A direction language prior helps only marginally</w:t>
      </w:r>
    </w:p>
    <w:p>
      <w:r>
        <w:rPr>
          <w:b w:val="0"/>
          <w:i w:val="0"/>
        </w:rPr>
        <w:t>At the arm-direction level, an English group-model predicts the next direction at ~24% (vs 12.5% uniform) — real but weak, because each of the 8 directions maps to 3–4 letters, blurring the linguistic signal. Fused with motor evidence (down-weighted to a tie-breaker; at full weight it hurts): +1.8 pp with oracle context, +0.7 pp deployable. Small, and it points the language lever one level up, to characters and words.</w:t>
      </w:r>
    </w:p>
    <w:p>
      <w:pPr>
        <w:pStyle w:val="Heading1"/>
      </w:pPr>
      <w:r>
        <w:rPr>
          <w:color w:val="1F4E79"/>
        </w:rPr>
        <w:t>4. Closed-loop is real but metric-limited</w:t>
      </w:r>
    </w:p>
    <w:p>
      <w:r>
        <w:rPr>
          <w:b w:val="0"/>
          <w:i w:val="0"/>
        </w:rPr>
        <w:t>We built the 7/20 surrogate as a data-driven, per-subject environment that replays each real trajectory’s own control errors, re-aimed from the current cursor (so it reconstructs real trajectories exactly with the copilot off, and reacts when the copilot moves the cursor). The one assumption that cannot be checked from our data — how much the user keeps steering to target after the copilot displaces the cursor — was made explicit as a persistence parameter α and swept from open-loop (α=0) to full closed-loop (α=1). Baseline is copilot-off (α-invariant); 3 seeds: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α (user persistence)</w:t>
            </w:r>
          </w:p>
        </w:tc>
        <w:tc>
          <w:tcPr>
            <w:tcW w:type="dxa" w:w="2880"/>
          </w:tcPr>
          <w:p>
            <w:r>
              <w:rPr>
                <w:b/>
                <w:sz w:val="19"/>
              </w:rPr>
              <w:t>copilot Δacc</w:t>
            </w:r>
          </w:p>
        </w:tc>
        <w:tc>
          <w:tcPr>
            <w:tcW w:type="dxa" w:w="2880"/>
          </w:tcPr>
          <w:p>
            <w:r>
              <w:rPr>
                <w:b/>
                <w:sz w:val="19"/>
              </w:rPr>
              <w:t>acquisition Δ</w:t>
            </w:r>
          </w:p>
        </w:tc>
      </w:tr>
      <w:tr>
        <w:tc>
          <w:tcPr>
            <w:tcW w:type="dxa" w:w="2880"/>
          </w:tcPr>
          <w:p>
            <w:r>
              <w:rPr>
                <w:sz w:val="19"/>
              </w:rPr>
              <w:t>0.00  (open-loop replay)</w:t>
            </w:r>
          </w:p>
        </w:tc>
        <w:tc>
          <w:tcPr>
            <w:tcW w:type="dxa" w:w="2880"/>
          </w:tcPr>
          <w:p>
            <w:r>
              <w:rPr>
                <w:sz w:val="19"/>
              </w:rPr>
              <w:t>+0.30 ± 0.37 pp</w:t>
            </w:r>
          </w:p>
        </w:tc>
        <w:tc>
          <w:tcPr>
            <w:tcW w:type="dxa" w:w="2880"/>
          </w:tcPr>
          <w:p>
            <w:r>
              <w:rPr>
                <w:sz w:val="19"/>
              </w:rPr>
              <w:t>-0.10 ticks</w:t>
            </w:r>
          </w:p>
        </w:tc>
      </w:tr>
      <w:tr>
        <w:tc>
          <w:tcPr>
            <w:tcW w:type="dxa" w:w="2880"/>
          </w:tcPr>
          <w:p>
            <w:r>
              <w:rPr>
                <w:sz w:val="19"/>
              </w:rPr>
              <w:t>0.25</w:t>
            </w:r>
          </w:p>
        </w:tc>
        <w:tc>
          <w:tcPr>
            <w:tcW w:type="dxa" w:w="2880"/>
          </w:tcPr>
          <w:p>
            <w:r>
              <w:rPr>
                <w:sz w:val="19"/>
              </w:rPr>
              <w:t>+0.39 ± 0.25</w:t>
            </w:r>
          </w:p>
        </w:tc>
        <w:tc>
          <w:tcPr>
            <w:tcW w:type="dxa" w:w="2880"/>
          </w:tcPr>
          <w:p>
            <w:r>
              <w:rPr>
                <w:sz w:val="19"/>
              </w:rPr>
              <w:t>-0.09</w:t>
            </w:r>
          </w:p>
        </w:tc>
      </w:tr>
      <w:tr>
        <w:tc>
          <w:tcPr>
            <w:tcW w:type="dxa" w:w="2880"/>
          </w:tcPr>
          <w:p>
            <w:r>
              <w:rPr>
                <w:sz w:val="19"/>
              </w:rPr>
              <w:t>0.50</w:t>
            </w:r>
          </w:p>
        </w:tc>
        <w:tc>
          <w:tcPr>
            <w:tcW w:type="dxa" w:w="2880"/>
          </w:tcPr>
          <w:p>
            <w:r>
              <w:rPr>
                <w:sz w:val="19"/>
              </w:rPr>
              <w:t>+0.47 ± 0.27</w:t>
            </w:r>
          </w:p>
        </w:tc>
        <w:tc>
          <w:tcPr>
            <w:tcW w:type="dxa" w:w="2880"/>
          </w:tcPr>
          <w:p>
            <w:r>
              <w:rPr>
                <w:sz w:val="19"/>
              </w:rPr>
              <w:t>-0.10</w:t>
            </w:r>
          </w:p>
        </w:tc>
      </w:tr>
      <w:tr>
        <w:tc>
          <w:tcPr>
            <w:tcW w:type="dxa" w:w="2880"/>
          </w:tcPr>
          <w:p>
            <w:r>
              <w:rPr>
                <w:sz w:val="19"/>
              </w:rPr>
              <w:t>0.75</w:t>
            </w:r>
          </w:p>
        </w:tc>
        <w:tc>
          <w:tcPr>
            <w:tcW w:type="dxa" w:w="2880"/>
          </w:tcPr>
          <w:p>
            <w:r>
              <w:rPr>
                <w:sz w:val="19"/>
              </w:rPr>
              <w:t>+0.47 ± 0.26</w:t>
            </w:r>
          </w:p>
        </w:tc>
        <w:tc>
          <w:tcPr>
            <w:tcW w:type="dxa" w:w="2880"/>
          </w:tcPr>
          <w:p>
            <w:r>
              <w:rPr>
                <w:sz w:val="19"/>
              </w:rPr>
              <w:t>-0.09</w:t>
            </w:r>
          </w:p>
        </w:tc>
      </w:tr>
      <w:tr>
        <w:tc>
          <w:tcPr>
            <w:tcW w:type="dxa" w:w="2880"/>
          </w:tcPr>
          <w:p>
            <w:r>
              <w:rPr>
                <w:sz w:val="19"/>
              </w:rPr>
              <w:t>1.00  (full closed-loop)</w:t>
            </w:r>
          </w:p>
        </w:tc>
        <w:tc>
          <w:tcPr>
            <w:tcW w:type="dxa" w:w="2880"/>
          </w:tcPr>
          <w:p>
            <w:r>
              <w:rPr>
                <w:sz w:val="19"/>
              </w:rPr>
              <w:t>+0.56 ± 0.20</w:t>
            </w:r>
          </w:p>
        </w:tc>
        <w:tc>
          <w:tcPr>
            <w:tcW w:type="dxa" w:w="2880"/>
          </w:tcPr>
          <w:p>
            <w:r>
              <w:rPr>
                <w:sz w:val="19"/>
              </w:rPr>
              <w:t>-0.09</w:t>
            </w:r>
          </w:p>
        </w:tc>
      </w:tr>
    </w:tbl>
    <w:p>
      <w:r>
        <w:rPr>
          <w:b w:val="0"/>
          <w:i/>
        </w:rPr>
        <w:t>There is a real feedback effect — Δacc rises monotonically with persistence — but it is tiny: closing the loop adds only ~+0.26 pp over open-loop, and α=1 (a perfectly persistent user) is the optimistic bound. The reason is the metric, not the copilot: a fixed-length, endpoint-angle score has no acquisition time to save and no hold to stabilize — exactly the dimensions where closed-loop copilots win (Lee et al.’s headline was dial-in time dropping 4.15 s → 0.05 s, a time win). On this metric, closed-loop feedback structurally cannot express that advantage.</w:t>
      </w:r>
    </w:p>
    <w:p>
      <w:r>
        <w:rPr>
          <w:b/>
          <w:i w:val="0"/>
        </w:rPr>
        <w:t>Surrogate — conditional next steps (only if the closed-loop axis is pursued under a revised, time/hold-rewarding metric):</w:t>
      </w:r>
    </w:p>
    <w:p>
      <w:pPr>
        <w:pStyle w:val="ListBullet"/>
      </w:pPr>
      <w:r>
        <w:t>Promote the data-driven reactive surrogate to canonical and retire the earlier parametric version. Open-loop faithfulness is complete (reconstructs real by construction) — this is a cleanup, not further calibration.</w:t>
      </w:r>
    </w:p>
    <w:p>
      <w:pPr>
        <w:pStyle w:val="ListBullet"/>
      </w:pPr>
      <w:r>
        <w:t>Desk-doable robustness: stress-test the control-error-invariance assumption (perturb the replayed errors under cursor displacement to bound sensitivity); strengthen the per-subject copilot-consistency check; pool control-error libraries for the sparse subjects (S03, S07).</w:t>
      </w:r>
    </w:p>
    <w:p>
      <w:pPr>
        <w:pStyle w:val="ListBullet"/>
      </w:pPr>
      <w:r>
        <w:t>Pilot-required (cannot be modeled away): the persistence α and the user’s actual response to copilot perturbation must be measured in a closed-loop human session.</w:t>
      </w:r>
    </w:p>
    <w:p>
      <w:pPr>
        <w:pStyle w:val="Heading1"/>
      </w:pPr>
      <w:r>
        <w:rPr>
          <w:color w:val="1F4E79"/>
        </w:rPr>
        <w:t>5. The pattern: the metric is the binding constraint</w:t>
      </w:r>
    </w:p>
    <w:p>
      <w:r>
        <w:rPr>
          <w:b w:val="0"/>
          <w:i w:val="0"/>
        </w:rPr>
        <w:t>Every lever lands in the same place, because they all bump the same ceiling — a single-shot, fixed-length, endpoint-angle classification saturated by the raw decoder.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lever</w:t>
            </w:r>
          </w:p>
        </w:tc>
        <w:tc>
          <w:tcPr>
            <w:tcW w:type="dxa" w:w="2880"/>
          </w:tcPr>
          <w:p>
            <w:r>
              <w:rPr>
                <w:b/>
                <w:sz w:val="19"/>
              </w:rPr>
              <w:t>level</w:t>
            </w:r>
          </w:p>
        </w:tc>
        <w:tc>
          <w:tcPr>
            <w:tcW w:type="dxa" w:w="2880"/>
          </w:tcPr>
          <w:p>
            <w:r>
              <w:rPr>
                <w:b/>
                <w:sz w:val="19"/>
              </w:rPr>
              <w:t>Δ vs raw</w:t>
            </w:r>
          </w:p>
        </w:tc>
      </w:tr>
      <w:tr>
        <w:tc>
          <w:tcPr>
            <w:tcW w:type="dxa" w:w="2880"/>
          </w:tcPr>
          <w:p>
            <w:r>
              <w:rPr>
                <w:sz w:val="19"/>
              </w:rPr>
              <w:t>better trajectory classifier</w:t>
            </w:r>
          </w:p>
        </w:tc>
        <w:tc>
          <w:tcPr>
            <w:tcW w:type="dxa" w:w="2880"/>
          </w:tcPr>
          <w:p>
            <w:r>
              <w:rPr>
                <w:sz w:val="19"/>
              </w:rPr>
              <w:t>arm phase</w:t>
            </w:r>
          </w:p>
        </w:tc>
        <w:tc>
          <w:tcPr>
            <w:tcW w:type="dxa" w:w="2880"/>
          </w:tcPr>
          <w:p>
            <w:r>
              <w:rPr>
                <w:sz w:val="19"/>
              </w:rPr>
              <w:t>negative</w:t>
            </w:r>
          </w:p>
        </w:tc>
      </w:tr>
      <w:tr>
        <w:tc>
          <w:tcPr>
            <w:tcW w:type="dxa" w:w="2880"/>
          </w:tcPr>
          <w:p>
            <w:r>
              <w:rPr>
                <w:sz w:val="19"/>
              </w:rPr>
              <w:t>training-data composition</w:t>
            </w:r>
          </w:p>
        </w:tc>
        <w:tc>
          <w:tcPr>
            <w:tcW w:type="dxa" w:w="2880"/>
          </w:tcPr>
          <w:p>
            <w:r>
              <w:rPr>
                <w:sz w:val="19"/>
              </w:rPr>
              <w:t>arm phase</w:t>
            </w:r>
          </w:p>
        </w:tc>
        <w:tc>
          <w:tcPr>
            <w:tcW w:type="dxa" w:w="2880"/>
          </w:tcPr>
          <w:p>
            <w:r>
              <w:rPr>
                <w:sz w:val="19"/>
              </w:rPr>
              <w:t>+0.9 pp</w:t>
            </w:r>
          </w:p>
        </w:tc>
      </w:tr>
      <w:tr>
        <w:tc>
          <w:tcPr>
            <w:tcW w:type="dxa" w:w="2880"/>
          </w:tcPr>
          <w:p>
            <w:r>
              <w:rPr>
                <w:sz w:val="19"/>
              </w:rPr>
              <w:t>direction language prior (deployable)</w:t>
            </w:r>
          </w:p>
        </w:tc>
        <w:tc>
          <w:tcPr>
            <w:tcW w:type="dxa" w:w="2880"/>
          </w:tcPr>
          <w:p>
            <w:r>
              <w:rPr>
                <w:sz w:val="19"/>
              </w:rPr>
              <w:t>arm phase</w:t>
            </w:r>
          </w:p>
        </w:tc>
        <w:tc>
          <w:tcPr>
            <w:tcW w:type="dxa" w:w="2880"/>
          </w:tcPr>
          <w:p>
            <w:r>
              <w:rPr>
                <w:sz w:val="19"/>
              </w:rPr>
              <w:t>+0.7 pp</w:t>
            </w:r>
          </w:p>
        </w:tc>
      </w:tr>
      <w:tr>
        <w:tc>
          <w:tcPr>
            <w:tcW w:type="dxa" w:w="2880"/>
          </w:tcPr>
          <w:p>
            <w:r>
              <w:rPr>
                <w:sz w:val="19"/>
              </w:rPr>
              <w:t>closed-loop feedback (optimistic bound)</w:t>
            </w:r>
          </w:p>
        </w:tc>
        <w:tc>
          <w:tcPr>
            <w:tcW w:type="dxa" w:w="2880"/>
          </w:tcPr>
          <w:p>
            <w:r>
              <w:rPr>
                <w:sz w:val="19"/>
              </w:rPr>
              <w:t>arm phase</w:t>
            </w:r>
          </w:p>
        </w:tc>
        <w:tc>
          <w:tcPr>
            <w:tcW w:type="dxa" w:w="2880"/>
          </w:tcPr>
          <w:p>
            <w:r>
              <w:rPr>
                <w:sz w:val="19"/>
              </w:rPr>
              <w:t>+0.56 pp</w:t>
            </w:r>
          </w:p>
        </w:tc>
      </w:tr>
      <w:tr>
        <w:tc>
          <w:tcPr>
            <w:tcW w:type="dxa" w:w="2880"/>
          </w:tcPr>
          <w:p>
            <w:r>
              <w:rPr>
                <w:sz w:val="19"/>
              </w:rPr>
              <w:t>language decoding</w:t>
            </w:r>
          </w:p>
        </w:tc>
        <w:tc>
          <w:tcPr>
            <w:tcW w:type="dxa" w:w="2880"/>
          </w:tcPr>
          <w:p>
            <w:r>
              <w:rPr>
                <w:sz w:val="19"/>
              </w:rPr>
              <w:t>word</w:t>
            </w:r>
          </w:p>
        </w:tc>
        <w:tc>
          <w:tcPr>
            <w:tcW w:type="dxa" w:w="2880"/>
          </w:tcPr>
          <w:p>
            <w:r>
              <w:rPr>
                <w:sz w:val="19"/>
              </w:rPr>
              <w:t>1% → 41%</w:t>
            </w:r>
          </w:p>
        </w:tc>
      </w:tr>
    </w:tbl>
    <w:p>
      <w:pPr>
        <w:pStyle w:val="Heading1"/>
      </w:pPr>
      <w:r>
        <w:rPr>
          <w:color w:val="1F4E79"/>
        </w:rPr>
        <w:t>6. The large lever: word-level language decoding</w:t>
      </w:r>
    </w:p>
    <w:p>
      <w:r>
        <w:rPr>
          <w:b w:val="0"/>
          <w:i w:val="0"/>
        </w:rPr>
        <w:t>A character is (arm group, finger). Per-character motor accuracy is ~32% (arm 55% × finger 58%), so whole-word motor-only accuracy is near zero. But a word is one of a few thousand valid strings, so spelling + word-frequency constraints recover it far above the per-character rate. Measured with REAL motor noise (real arm endpoints + the real finger confusion matrix) on frequency-weighted English words, 3 seeds: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level</w:t>
            </w:r>
          </w:p>
        </w:tc>
        <w:tc>
          <w:tcPr>
            <w:tcW w:type="dxa" w:w="2880"/>
          </w:tcPr>
          <w:p>
            <w:r>
              <w:rPr>
                <w:b/>
                <w:sz w:val="19"/>
              </w:rPr>
              <w:t>motor only</w:t>
            </w:r>
          </w:p>
        </w:tc>
        <w:tc>
          <w:tcPr>
            <w:tcW w:type="dxa" w:w="2880"/>
          </w:tcPr>
          <w:p>
            <w:r>
              <w:rPr>
                <w:b/>
                <w:sz w:val="19"/>
              </w:rPr>
              <w:t>+ language</w:t>
            </w:r>
          </w:p>
        </w:tc>
      </w:tr>
      <w:tr>
        <w:tc>
          <w:tcPr>
            <w:tcW w:type="dxa" w:w="2880"/>
          </w:tcPr>
          <w:p>
            <w:r>
              <w:rPr>
                <w:sz w:val="19"/>
              </w:rPr>
              <w:t>group (arm direction)</w:t>
            </w:r>
          </w:p>
        </w:tc>
        <w:tc>
          <w:tcPr>
            <w:tcW w:type="dxa" w:w="2880"/>
          </w:tcPr>
          <w:p>
            <w:r>
              <w:rPr>
                <w:sz w:val="19"/>
              </w:rPr>
              <w:t>~55%</w:t>
            </w:r>
          </w:p>
        </w:tc>
        <w:tc>
          <w:tcPr>
            <w:tcW w:type="dxa" w:w="2880"/>
          </w:tcPr>
          <w:p>
            <w:r>
              <w:rPr>
                <w:sz w:val="19"/>
              </w:rPr>
              <w:t>~67%</w:t>
            </w:r>
          </w:p>
        </w:tc>
      </w:tr>
      <w:tr>
        <w:tc>
          <w:tcPr>
            <w:tcW w:type="dxa" w:w="2880"/>
          </w:tcPr>
          <w:p>
            <w:r>
              <w:rPr>
                <w:sz w:val="19"/>
              </w:rPr>
              <w:t>character</w:t>
            </w:r>
          </w:p>
        </w:tc>
        <w:tc>
          <w:tcPr>
            <w:tcW w:type="dxa" w:w="2880"/>
          </w:tcPr>
          <w:p>
            <w:r>
              <w:rPr>
                <w:sz w:val="19"/>
              </w:rPr>
              <w:t>~31%</w:t>
            </w:r>
          </w:p>
        </w:tc>
        <w:tc>
          <w:tcPr>
            <w:tcW w:type="dxa" w:w="2880"/>
          </w:tcPr>
          <w:p>
            <w:r>
              <w:rPr>
                <w:sz w:val="19"/>
              </w:rPr>
              <w:t>~60%</w:t>
            </w:r>
          </w:p>
        </w:tc>
      </w:tr>
      <w:tr>
        <w:tc>
          <w:tcPr>
            <w:tcW w:type="dxa" w:w="2880"/>
          </w:tcPr>
          <w:p>
            <w:r>
              <w:rPr>
                <w:sz w:val="19"/>
              </w:rPr>
              <w:t>WHOLE WORD</w:t>
            </w:r>
          </w:p>
        </w:tc>
        <w:tc>
          <w:tcPr>
            <w:tcW w:type="dxa" w:w="2880"/>
          </w:tcPr>
          <w:p>
            <w:r>
              <w:rPr>
                <w:sz w:val="19"/>
              </w:rPr>
              <w:t>~1%</w:t>
            </w:r>
          </w:p>
        </w:tc>
        <w:tc>
          <w:tcPr>
            <w:tcW w:type="dxa" w:w="2880"/>
          </w:tcPr>
          <w:p>
            <w:r>
              <w:rPr>
                <w:sz w:val="19"/>
              </w:rPr>
              <w:t>~41%</w:t>
            </w:r>
          </w:p>
        </w:tc>
      </w:tr>
    </w:tbl>
    <w:p>
      <w:r>
        <w:rPr>
          <w:b w:val="0"/>
          <w:i/>
        </w:rPr>
        <w:t>Whole-word accuracy improves ~40×. The word number is deployable, not oracle-inflated — it uses only within-word spelling and word frequency, no knowledge of prior words. Two notes: the finger (~58%) is as large an error source as the arm (~55%) for characters, yet has had none of the copilot effort; and language recovers both. This is the first large result of the investigation and confirms the redirection.</w:t>
      </w:r>
    </w:p>
    <w:p>
      <w:pPr>
        <w:pStyle w:val="Heading1"/>
      </w:pPr>
      <w:r>
        <w:rPr>
          <w:color w:val="1F4E79"/>
        </w:rPr>
        <w:t>7. Sentence-level decoding: joint segmentation</w:t>
      </w:r>
    </w:p>
    <w:p>
      <w:r>
        <w:rPr>
          <w:b w:val="0"/>
          <w:i w:val="0"/>
        </w:rPr>
        <w:t>At the sentence level the added difficulty is segmentation: the space key is (group 5, finger 2) but group 5 also holds b/n, so word boundaries are uncertain and must be inferred jointly with the words. A dynamic-program decoder that searches over where words break — keeping the hard dictionary constraint that made word-level work — beats a naive decoder that trusts the motor-argmax spaces (real English sentences, real motor noise, 3-seed mean):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decoder</w:t>
            </w:r>
          </w:p>
        </w:tc>
        <w:tc>
          <w:tcPr>
            <w:tcW w:type="dxa" w:w="2160"/>
          </w:tcPr>
          <w:p>
            <w:r>
              <w:rPr>
                <w:b/>
                <w:sz w:val="19"/>
              </w:rPr>
              <w:t>char acc</w:t>
            </w:r>
          </w:p>
        </w:tc>
        <w:tc>
          <w:tcPr>
            <w:tcW w:type="dxa" w:w="2160"/>
          </w:tcPr>
          <w:p>
            <w:r>
              <w:rPr>
                <w:b/>
                <w:sz w:val="19"/>
              </w:rPr>
              <w:t>word acc</w:t>
            </w:r>
          </w:p>
        </w:tc>
        <w:tc>
          <w:tcPr>
            <w:tcW w:type="dxa" w:w="2160"/>
          </w:tcPr>
          <w:p>
            <w:r>
              <w:rPr>
                <w:b/>
                <w:sz w:val="19"/>
              </w:rPr>
              <w:t>sentence exact</w:t>
            </w:r>
          </w:p>
        </w:tc>
      </w:tr>
      <w:tr>
        <w:tc>
          <w:tcPr>
            <w:tcW w:type="dxa" w:w="2160"/>
          </w:tcPr>
          <w:p>
            <w:r>
              <w:rPr>
                <w:sz w:val="19"/>
              </w:rPr>
              <w:t>motor only</w:t>
            </w:r>
          </w:p>
        </w:tc>
        <w:tc>
          <w:tcPr>
            <w:tcW w:type="dxa" w:w="2160"/>
          </w:tcPr>
          <w:p>
            <w:r>
              <w:rPr>
                <w:sz w:val="19"/>
              </w:rPr>
              <w:t>~33%</w:t>
            </w:r>
          </w:p>
        </w:tc>
        <w:tc>
          <w:tcPr>
            <w:tcW w:type="dxa" w:w="2160"/>
          </w:tcPr>
          <w:p>
            <w:r>
              <w:rPr>
                <w:sz w:val="19"/>
              </w:rPr>
              <w:t>~1%</w:t>
            </w:r>
          </w:p>
        </w:tc>
        <w:tc>
          <w:tcPr>
            <w:tcW w:type="dxa" w:w="2160"/>
          </w:tcPr>
          <w:p>
            <w:r>
              <w:rPr>
                <w:sz w:val="19"/>
              </w:rPr>
              <w:t>0%</w:t>
            </w:r>
          </w:p>
        </w:tc>
      </w:tr>
      <w:tr>
        <w:tc>
          <w:tcPr>
            <w:tcW w:type="dxa" w:w="2160"/>
          </w:tcPr>
          <w:p>
            <w:r>
              <w:rPr>
                <w:sz w:val="19"/>
              </w:rPr>
              <w:t>word level (naive segmentation)</w:t>
            </w:r>
          </w:p>
        </w:tc>
        <w:tc>
          <w:tcPr>
            <w:tcW w:type="dxa" w:w="2160"/>
          </w:tcPr>
          <w:p>
            <w:r>
              <w:rPr>
                <w:sz w:val="19"/>
              </w:rPr>
              <w:t>~33%</w:t>
            </w:r>
          </w:p>
        </w:tc>
        <w:tc>
          <w:tcPr>
            <w:tcW w:type="dxa" w:w="2160"/>
          </w:tcPr>
          <w:p>
            <w:r>
              <w:rPr>
                <w:sz w:val="19"/>
              </w:rPr>
              <w:t>~11%</w:t>
            </w:r>
          </w:p>
        </w:tc>
        <w:tc>
          <w:tcPr>
            <w:tcW w:type="dxa" w:w="2160"/>
          </w:tcPr>
          <w:p>
            <w:r>
              <w:rPr>
                <w:sz w:val="19"/>
              </w:rPr>
              <w:t>0%</w:t>
            </w:r>
          </w:p>
        </w:tc>
      </w:tr>
      <w:tr>
        <w:tc>
          <w:tcPr>
            <w:tcW w:type="dxa" w:w="2160"/>
          </w:tcPr>
          <w:p>
            <w:r>
              <w:rPr>
                <w:sz w:val="19"/>
              </w:rPr>
              <w:t>sentence level (joint segmentation)</w:t>
            </w:r>
          </w:p>
        </w:tc>
        <w:tc>
          <w:tcPr>
            <w:tcW w:type="dxa" w:w="2160"/>
          </w:tcPr>
          <w:p>
            <w:r>
              <w:rPr>
                <w:sz w:val="19"/>
              </w:rPr>
              <w:t>~52%</w:t>
            </w:r>
          </w:p>
        </w:tc>
        <w:tc>
          <w:tcPr>
            <w:tcW w:type="dxa" w:w="2160"/>
          </w:tcPr>
          <w:p>
            <w:r>
              <w:rPr>
                <w:sz w:val="19"/>
              </w:rPr>
              <w:t>~25%</w:t>
            </w:r>
          </w:p>
        </w:tc>
        <w:tc>
          <w:tcPr>
            <w:tcW w:type="dxa" w:w="2160"/>
          </w:tcPr>
          <w:p>
            <w:r>
              <w:rPr>
                <w:sz w:val="19"/>
              </w:rPr>
              <w:t>~1%</w:t>
            </w:r>
          </w:p>
        </w:tc>
      </w:tr>
    </w:tbl>
    <w:p>
      <w:r>
        <w:rPr>
          <w:b w:val="0"/>
          <w:i/>
        </w:rPr>
        <w:t>Solving segmentation jointly roughly doubles word accuracy (11% → 25%) and lifts character accuracy to ~52%. Absolute accuracy is still modest for two concrete reasons: the per-character motor floor is very noisy (~33%), and the decoder uses only word-unigram frequency — no cross-word context. That missing piece — a real sentence language model (word n-gram, or an LLM reranking the decoder’s candidate list against the known sentence length) — is precisely the brief’s sentence-level suggestion and is where the remaining headroom lives.</w:t>
      </w:r>
    </w:p>
    <w:p>
      <w:pPr>
        <w:pStyle w:val="Heading1"/>
      </w:pPr>
      <w:r>
        <w:rPr>
          <w:color w:val="1F4E79"/>
        </w:rPr>
        <w:t>8. Recommendation and next steps</w:t>
      </w:r>
    </w:p>
    <w:p>
      <w:pPr>
        <w:pStyle w:val="ListBullet"/>
      </w:pPr>
      <w:r>
        <w:rPr>
          <w:b/>
        </w:rPr>
        <w:t xml:space="preserve">Primary — language decoding. </w:t>
      </w:r>
      <w:r>
        <w:t>Word → sentence decoding, then a sentence language model / LLM reranker. This is the only axis with large measured headroom (40× at the word level) and it is the typing system’s actual objective (Problem 2).</w:t>
      </w:r>
    </w:p>
    <w:p>
      <w:pPr>
        <w:pStyle w:val="ListBullet"/>
      </w:pPr>
      <w:r>
        <w:rPr>
          <w:b/>
        </w:rPr>
        <w:t xml:space="preserve">Supporting. </w:t>
      </w:r>
      <w:r>
        <w:t>improving finger decoding (~58%) would lift character accuracy as much as the arm work did, and it feeds directly into word/sentence accuracy.</w:t>
      </w:r>
    </w:p>
    <w:p>
      <w:pPr>
        <w:pStyle w:val="ListBullet"/>
      </w:pPr>
      <w:r>
        <w:rPr>
          <w:b/>
        </w:rPr>
        <w:t xml:space="preserve">Conditional — closed-loop. </w:t>
      </w:r>
      <w:r>
        <w:t>pursue closed-loop only if the arm-phase task/metric is revised to reward acquisition time and hold-to-select (as in Lee et al.). That is a task-design decision; under the current metric the closed-loop payoff is ~+0.26 pp. If pursued, see the scoped surrogate items in §4.</w:t>
      </w:r>
    </w:p>
    <w:p>
      <w:pPr>
        <w:pStyle w:val="ListBullet"/>
      </w:pPr>
      <w:r>
        <w:rPr>
          <w:b/>
        </w:rPr>
        <w:t xml:space="preserve">Question for discussion. </w:t>
      </w:r>
      <w:r>
        <w:t>should the arm-phase evaluation adopt a time/hold-rewarding metric (variable trial length, a hold requirement)? It is the only way the copilot’s and closed-loop’s real value can appear, and it would align the arm phase with the reference paper.</w:t>
      </w:r>
    </w:p>
    <w:p>
      <w:pPr>
        <w:pStyle w:val="Heading1"/>
      </w:pPr>
      <w:r>
        <w:rPr>
          <w:color w:val="1F4E79"/>
        </w:rPr>
        <w:t>9. Reproducibility</w:t>
      </w:r>
    </w:p>
    <w:p>
      <w:r>
        <w:rPr>
          <w:b w:val="0"/>
          <w:i w:val="0"/>
        </w:rPr>
        <w:t>All five probes are committed under experimental/ and run from the current data:</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file</w:t>
            </w:r>
          </w:p>
        </w:tc>
        <w:tc>
          <w:tcPr>
            <w:tcW w:type="dxa" w:w="4320"/>
          </w:tcPr>
          <w:p>
            <w:r>
              <w:rPr>
                <w:b/>
                <w:sz w:val="19"/>
              </w:rPr>
              <w:t>what it measures</w:t>
            </w:r>
          </w:p>
        </w:tc>
      </w:tr>
      <w:tr>
        <w:tc>
          <w:tcPr>
            <w:tcW w:type="dxa" w:w="4320"/>
          </w:tcPr>
          <w:p>
            <w:r>
              <w:rPr>
                <w:sz w:val="19"/>
              </w:rPr>
              <w:t>readout_probe.py</w:t>
            </w:r>
          </w:p>
        </w:tc>
        <w:tc>
          <w:tcPr>
            <w:tcW w:type="dxa" w:w="4320"/>
          </w:tcPr>
          <w:p>
            <w:r>
              <w:rPr>
                <w:sz w:val="19"/>
              </w:rPr>
              <w:t>§2 — classifier readout vs raw endpoint vs copilot</w:t>
            </w:r>
          </w:p>
        </w:tc>
      </w:tr>
      <w:tr>
        <w:tc>
          <w:tcPr>
            <w:tcW w:type="dxa" w:w="4320"/>
          </w:tcPr>
          <w:p>
            <w:r>
              <w:rPr>
                <w:sz w:val="19"/>
              </w:rPr>
              <w:t>prior_fusion_probe.py</w:t>
            </w:r>
          </w:p>
        </w:tc>
        <w:tc>
          <w:tcPr>
            <w:tcW w:type="dxa" w:w="4320"/>
          </w:tcPr>
          <w:p>
            <w:r>
              <w:rPr>
                <w:sz w:val="19"/>
              </w:rPr>
              <w:t>§3 — direction language prior fusion</w:t>
            </w:r>
          </w:p>
        </w:tc>
      </w:tr>
      <w:tr>
        <w:tc>
          <w:tcPr>
            <w:tcW w:type="dxa" w:w="4320"/>
          </w:tcPr>
          <w:p>
            <w:r>
              <w:rPr>
                <w:sz w:val="19"/>
              </w:rPr>
              <w:t>closed_loop_reactive.py</w:t>
            </w:r>
          </w:p>
        </w:tc>
        <w:tc>
          <w:tcPr>
            <w:tcW w:type="dxa" w:w="4320"/>
          </w:tcPr>
          <w:p>
            <w:r>
              <w:rPr>
                <w:sz w:val="19"/>
              </w:rPr>
              <w:t>§4 — closed-loop copilot benefit vs user persistence α</w:t>
            </w:r>
          </w:p>
        </w:tc>
      </w:tr>
      <w:tr>
        <w:tc>
          <w:tcPr>
            <w:tcW w:type="dxa" w:w="4320"/>
          </w:tcPr>
          <w:p>
            <w:r>
              <w:rPr>
                <w:sz w:val="19"/>
              </w:rPr>
              <w:t>word_decode.py</w:t>
            </w:r>
          </w:p>
        </w:tc>
        <w:tc>
          <w:tcPr>
            <w:tcW w:type="dxa" w:w="4320"/>
          </w:tcPr>
          <w:p>
            <w:r>
              <w:rPr>
                <w:sz w:val="19"/>
              </w:rPr>
              <w:t>§6 — word-level language decoding</w:t>
            </w:r>
          </w:p>
        </w:tc>
      </w:tr>
      <w:tr>
        <w:tc>
          <w:tcPr>
            <w:tcW w:type="dxa" w:w="4320"/>
          </w:tcPr>
          <w:p>
            <w:r>
              <w:rPr>
                <w:sz w:val="19"/>
              </w:rPr>
              <w:t>sentence_decode.py</w:t>
            </w:r>
          </w:p>
        </w:tc>
        <w:tc>
          <w:tcPr>
            <w:tcW w:type="dxa" w:w="4320"/>
          </w:tcPr>
          <w:p>
            <w:r>
              <w:rPr>
                <w:sz w:val="19"/>
              </w:rPr>
              <w:t>§7 — sentence-level joint-segmentation decoding</w:t>
            </w:r>
          </w:p>
        </w:tc>
      </w:tr>
    </w:tbl>
    <w:p>
      <w:r>
        <w:rPr>
          <w:b w:val="0"/>
          <w:i/>
        </w:rPr>
        <w:t>The 7/20 report proposed the closed-loop surrogate; this report builds and tests it, and redirects priority to the language axis on the strength of the numbers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