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4C4" w:rsidRDefault="003244C4" w:rsidP="00597306">
      <w:pPr>
        <w:shd w:val="clear" w:color="auto" w:fill="FFFFFF"/>
        <w:spacing w:before="129" w:after="0" w:line="240" w:lineRule="auto"/>
        <w:jc w:val="center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 w:rsidRPr="00AE159B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PyCity Schools </w:t>
      </w:r>
      <w:r w:rsidR="007E272E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Summary and </w:t>
      </w:r>
      <w:r w:rsidRPr="00AE159B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Analysis</w:t>
      </w:r>
    </w:p>
    <w:p w:rsidR="00597306" w:rsidRDefault="00597306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Background</w:t>
      </w:r>
    </w:p>
    <w:p w:rsidR="00AE159B" w:rsidRDefault="00AE159B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 purpose of this project is to analyze the 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district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-wide standardized test result of math and reading. There are 15 schools and </w:t>
      </w:r>
      <w:r w:rsidR="009E6583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a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total of 39</w:t>
      </w:r>
      <w:r w:rsidR="002A54F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,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17</w:t>
      </w:r>
      <w:r w:rsidR="002A54F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0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students, from grade 9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 12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, in this dat</w:t>
      </w:r>
      <w:r w:rsidR="006948C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a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set. We would </w:t>
      </w:r>
      <w:r w:rsidR="009E6583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like</w:t>
      </w:r>
      <w:r w:rsidRPr="00AE159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 see the trends in school performance so that we can make strategic decisions regarding school budgets and priorities</w:t>
      </w: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. </w:t>
      </w:r>
    </w:p>
    <w:p w:rsidR="00AE159B" w:rsidRDefault="00AE159B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2A54F0" w:rsidRDefault="003971A8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District</w:t>
      </w:r>
      <w:r w:rsidR="002A54F0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 Summary</w:t>
      </w:r>
    </w:p>
    <w:p w:rsidR="002A54F0" w:rsidRPr="001C21C8" w:rsidRDefault="002A54F0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There are 15 schools and </w:t>
      </w:r>
      <w:r w:rsidR="009E6583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a</w:t>
      </w:r>
      <w:r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total of 39,170 students in this dataset. The average math and reading score of the students are 78.985 and 81.877 respectively. The percentage of 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students who passed math (score is greater than </w:t>
      </w:r>
      <w:r w:rsidR="009E6583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or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equal to 70) is</w:t>
      </w:r>
      <w:r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74.98%, while the percentage of 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student who </w:t>
      </w:r>
      <w:r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pass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ed</w:t>
      </w:r>
      <w:r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reading is 85.80%</w:t>
      </w:r>
      <w:r w:rsidR="001C21C8"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The 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percentage of students who passed both</w:t>
      </w:r>
      <w:r w:rsidR="001C21C8" w:rsidRP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math and </w:t>
      </w:r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reading </w:t>
      </w:r>
      <w:proofErr w:type="gramStart"/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</w:t>
      </w:r>
      <w:proofErr w:type="gramEnd"/>
      <w:r w:rsidR="001C21C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65.17%</w:t>
      </w:r>
      <w:r w:rsidR="00DB268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</w:t>
      </w:r>
    </w:p>
    <w:p w:rsidR="00AE159B" w:rsidRDefault="002A54F0" w:rsidP="002A54F0">
      <w:pPr>
        <w:shd w:val="clear" w:color="auto" w:fill="FFFFFF"/>
        <w:spacing w:before="129" w:after="0" w:line="240" w:lineRule="auto"/>
        <w:ind w:left="-450" w:hanging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 </w:t>
      </w:r>
      <w:r>
        <w:rPr>
          <w:noProof/>
        </w:rPr>
        <w:drawing>
          <wp:inline distT="0" distB="0" distL="0" distR="0">
            <wp:extent cx="6608618" cy="504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97" cy="5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0B" w:rsidRDefault="0081500B" w:rsidP="002A54F0">
      <w:pPr>
        <w:shd w:val="clear" w:color="auto" w:fill="FFFFFF"/>
        <w:spacing w:before="129" w:after="0" w:line="240" w:lineRule="auto"/>
        <w:ind w:left="-450" w:hanging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81500B" w:rsidRDefault="0081500B" w:rsidP="002A54F0">
      <w:pPr>
        <w:shd w:val="clear" w:color="auto" w:fill="FFFFFF"/>
        <w:spacing w:before="129" w:after="0" w:line="240" w:lineRule="auto"/>
        <w:ind w:left="-450" w:hanging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ab/>
      </w: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ab/>
        <w:t>School Summary</w:t>
      </w:r>
      <w:r w:rsidR="00E7571B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 xml:space="preserve"> </w:t>
      </w:r>
    </w:p>
    <w:p w:rsidR="001613BE" w:rsidRDefault="0081500B" w:rsidP="00270A1B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81500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There are </w:t>
      </w:r>
      <w:r w:rsidR="007C037A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7</w:t>
      </w:r>
      <w:r w:rsidR="00DB268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81500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 w:rsidR="005A1DD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Pr="0081500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and </w:t>
      </w:r>
      <w:r w:rsidR="007C037A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8</w:t>
      </w:r>
      <w:r w:rsidR="00DB268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81500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 w:rsidR="005A1DD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="00DB268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in this dataset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.</w:t>
      </w:r>
      <w:r w:rsidR="0049235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The number of students in schools range from 427 students (Holden High School) to 4,976 students (Bailey High School).</w:t>
      </w:r>
      <w:r w:rsidR="00503A35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All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are large school size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(2,000 – 5000 students)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, while the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are medium size 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(1,000 – 2,000 students) 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and small size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(&lt; 1,000 students)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.</w:t>
      </w:r>
      <w:r w:rsidR="00270A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</w:p>
    <w:p w:rsidR="001613BE" w:rsidRDefault="001613BE" w:rsidP="00270A1B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E7571B" w:rsidRDefault="003971A8" w:rsidP="00270A1B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District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have</w:t>
      </w:r>
      <w:r w:rsidR="005A1DD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a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total school budget higher than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school. Bailey High School is the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with the highest school budget of $3,124,928 and Holden High School is the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with the lowest school budget of $248,087. The 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school 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budget 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was allocate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to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chool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more than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s;</w:t>
      </w:r>
      <w:r w:rsidR="00E7571B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this is probably due to the size of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that they are larger than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 w:rsidR="005A1DD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Total budget for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is $17,347,923 and the total budget for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59730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is $7,301,505. </w:t>
      </w:r>
    </w:p>
    <w:p w:rsidR="00B91FAE" w:rsidRDefault="00B91FAE" w:rsidP="00270A1B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81500B" w:rsidRPr="0081500B" w:rsidRDefault="0081500B" w:rsidP="00270A1B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Below is the table </w:t>
      </w:r>
      <w:r w:rsidR="006948C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that summarizes key metrics </w:t>
      </w:r>
      <w:r w:rsidR="005A1DD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for</w:t>
      </w:r>
      <w:r w:rsidR="006948C6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each school.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</w:p>
    <w:p w:rsidR="0081500B" w:rsidRDefault="0081500B" w:rsidP="002A54F0">
      <w:pPr>
        <w:shd w:val="clear" w:color="auto" w:fill="FFFFFF"/>
        <w:spacing w:before="129" w:after="0" w:line="240" w:lineRule="auto"/>
        <w:ind w:left="-450" w:hanging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7092564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061" cy="41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A6" w:rsidRDefault="00D320A6" w:rsidP="002A54F0">
      <w:pPr>
        <w:shd w:val="clear" w:color="auto" w:fill="FFFFFF"/>
        <w:spacing w:before="129" w:after="0" w:line="240" w:lineRule="auto"/>
        <w:ind w:left="-450" w:hanging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948C6" w:rsidRDefault="006948C6" w:rsidP="00EA4C1D">
      <w:pPr>
        <w:shd w:val="clear" w:color="auto" w:fill="FFFFFF"/>
        <w:spacing w:before="129" w:after="0" w:line="240" w:lineRule="auto"/>
        <w:ind w:left="-450" w:firstLine="45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Observable School Performance</w:t>
      </w:r>
    </w:p>
    <w:p w:rsidR="006948C6" w:rsidRDefault="006948C6" w:rsidP="00EA4C1D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Highest-Performing School (by % Overall passing)</w:t>
      </w:r>
    </w:p>
    <w:p w:rsidR="006948C6" w:rsidRDefault="006948C6" w:rsidP="006948C6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948C6" w:rsidRPr="00EA4C1D" w:rsidRDefault="001C343F" w:rsidP="00EA4C1D">
      <w:pPr>
        <w:pStyle w:val="ListParagraph"/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he table below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shows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the top 5 in highest performing schools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, which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are all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type. All 5 of th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e 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top performer school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ha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ve</w:t>
      </w:r>
      <w:r w:rsidR="006948C6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90% or more in overall passing rate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</w:t>
      </w:r>
    </w:p>
    <w:p w:rsidR="00AE159B" w:rsidRDefault="00EA4C1D" w:rsidP="00456D68">
      <w:pPr>
        <w:shd w:val="clear" w:color="auto" w:fill="FFFFFF"/>
        <w:spacing w:before="129" w:after="0" w:line="240" w:lineRule="auto"/>
        <w:ind w:left="-630" w:firstLine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4588F3D" wp14:editId="6E3A2C68">
            <wp:extent cx="6976924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9070" cy="16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04" w:rsidRDefault="00655204" w:rsidP="00456D68">
      <w:pPr>
        <w:shd w:val="clear" w:color="auto" w:fill="FFFFFF"/>
        <w:spacing w:before="129" w:after="0" w:line="240" w:lineRule="auto"/>
        <w:ind w:left="-630" w:firstLine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456D68">
      <w:pPr>
        <w:shd w:val="clear" w:color="auto" w:fill="FFFFFF"/>
        <w:spacing w:before="129" w:after="0" w:line="240" w:lineRule="auto"/>
        <w:ind w:left="-630" w:firstLine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456D68">
      <w:pPr>
        <w:shd w:val="clear" w:color="auto" w:fill="FFFFFF"/>
        <w:spacing w:before="129" w:after="0" w:line="240" w:lineRule="auto"/>
        <w:ind w:left="-630" w:firstLine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A4C1D" w:rsidRDefault="00EA4C1D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A4C1D" w:rsidRDefault="00EA4C1D" w:rsidP="00EA4C1D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Bottom Performing Schools (By % Overall passing)</w:t>
      </w:r>
    </w:p>
    <w:p w:rsidR="00EA4C1D" w:rsidRPr="00EA4C1D" w:rsidRDefault="001C343F" w:rsidP="00EA4C1D">
      <w:pPr>
        <w:pStyle w:val="ListParagraph"/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he table below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show</w:t>
      </w:r>
      <w:r w:rsidR="008D54D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5 bottom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performing schools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.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They all are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EA4C1D" w:rsidRPr="00EA4C1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type.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These 5 schools have the lowest percentage in overall passing rate, which are about 52-53%. </w:t>
      </w:r>
    </w:p>
    <w:p w:rsidR="00EA4C1D" w:rsidRPr="00EA4C1D" w:rsidRDefault="00EA4C1D" w:rsidP="00EA4C1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AE159B" w:rsidRDefault="00EA4C1D" w:rsidP="00456D68">
      <w:pPr>
        <w:shd w:val="clear" w:color="auto" w:fill="FFFFFF"/>
        <w:spacing w:before="129" w:after="0" w:line="240" w:lineRule="auto"/>
        <w:ind w:left="-27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11C0770" wp14:editId="6806FD69">
            <wp:extent cx="6873737" cy="1600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9944" cy="16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1B" w:rsidRDefault="00E7571B" w:rsidP="00456D68">
      <w:pPr>
        <w:shd w:val="clear" w:color="auto" w:fill="FFFFFF"/>
        <w:spacing w:before="129" w:after="0" w:line="240" w:lineRule="auto"/>
        <w:ind w:left="-27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7571B" w:rsidRDefault="00E7571B" w:rsidP="00E7571B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 w:hanging="45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Math Scores by Grade</w:t>
      </w:r>
    </w:p>
    <w:p w:rsidR="00092610" w:rsidRPr="00092610" w:rsidRDefault="00092610" w:rsidP="00092610">
      <w:pPr>
        <w:pStyle w:val="ListParagraph"/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score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in math 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better than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for all 9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grade to 12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grade.</w:t>
      </w:r>
    </w:p>
    <w:p w:rsidR="001C343F" w:rsidRDefault="00E7571B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>
            <wp:extent cx="4343400" cy="353532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44" cy="353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04" w:rsidRDefault="00655204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7571B" w:rsidRDefault="00E7571B" w:rsidP="002A54F0">
      <w:pPr>
        <w:shd w:val="clear" w:color="auto" w:fill="FFFFFF"/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7571B" w:rsidRDefault="00E7571B" w:rsidP="00E7571B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 w:hanging="45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Reading Scores by Grade</w:t>
      </w:r>
    </w:p>
    <w:p w:rsidR="00092610" w:rsidRPr="00092610" w:rsidRDefault="00092610" w:rsidP="00092610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score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in reading 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better than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for all 9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grade to 12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:vertAlign w:val="superscript"/>
          <w14:ligatures w14:val="none"/>
        </w:rPr>
        <w:t>th</w:t>
      </w:r>
      <w:r w:rsidRPr="0009261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grade.</w:t>
      </w:r>
    </w:p>
    <w:p w:rsidR="00092610" w:rsidRDefault="00092610" w:rsidP="00E7571B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 w:hanging="45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7571B" w:rsidRDefault="00E7571B" w:rsidP="00E7571B">
      <w:pPr>
        <w:pStyle w:val="ListParagraph"/>
        <w:shd w:val="clear" w:color="auto" w:fill="FFFFFF"/>
        <w:spacing w:before="129" w:after="0" w:line="240" w:lineRule="auto"/>
        <w:ind w:left="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>
            <wp:extent cx="4050552" cy="33718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91" cy="33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04" w:rsidRDefault="00655204" w:rsidP="00E7571B">
      <w:pPr>
        <w:pStyle w:val="ListParagraph"/>
        <w:shd w:val="clear" w:color="auto" w:fill="FFFFFF"/>
        <w:spacing w:before="129" w:after="0" w:line="240" w:lineRule="auto"/>
        <w:ind w:left="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E7571B" w:rsidRPr="00E7571B" w:rsidRDefault="00E7571B" w:rsidP="00E7571B">
      <w:pPr>
        <w:pStyle w:val="ListParagraph"/>
        <w:shd w:val="clear" w:color="auto" w:fill="FFFFFF"/>
        <w:spacing w:before="129" w:after="0" w:line="240" w:lineRule="auto"/>
        <w:ind w:left="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1C343F" w:rsidRDefault="008D54D0" w:rsidP="0049440A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 w:hanging="45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Scores by School Spending</w:t>
      </w:r>
    </w:p>
    <w:p w:rsidR="00D80CA0" w:rsidRDefault="00456D68" w:rsidP="00D80CA0">
      <w:pPr>
        <w:pStyle w:val="ListParagraph"/>
        <w:shd w:val="clear" w:color="auto" w:fill="FFFFFF"/>
        <w:tabs>
          <w:tab w:val="left" w:pos="360"/>
        </w:tabs>
        <w:spacing w:before="129" w:after="0" w:line="240" w:lineRule="auto"/>
        <w:ind w:left="360" w:hanging="90"/>
        <w:outlineLvl w:val="0"/>
        <w:rPr>
          <w:noProof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ab/>
      </w:r>
      <w:r w:rsidR="008D54D0" w:rsidRPr="008D54D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 table below shows the </w:t>
      </w:r>
      <w:r w:rsidR="008D54D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breaks down school performance based on average spending ranges (per student). </w:t>
      </w:r>
      <w:r w:rsidR="00D80CA0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Schools with the lowest spending ranges per student (&lt;$585) have the highest percentage overall passing. However, schools with the highest spending ranges per student ($645-680) have the lowest percentage overall passing.</w:t>
      </w:r>
    </w:p>
    <w:p w:rsidR="00ED133B" w:rsidRDefault="0049440A" w:rsidP="007E272E">
      <w:pPr>
        <w:shd w:val="clear" w:color="auto" w:fill="FFFFFF"/>
        <w:tabs>
          <w:tab w:val="left" w:pos="90"/>
        </w:tabs>
        <w:spacing w:before="129" w:after="0" w:line="240" w:lineRule="auto"/>
        <w:ind w:left="-90" w:hanging="18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BC421B8" wp14:editId="5E4E9165">
            <wp:extent cx="6819900" cy="1352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753" cy="1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04" w:rsidRDefault="00655204" w:rsidP="007E272E">
      <w:pPr>
        <w:shd w:val="clear" w:color="auto" w:fill="FFFFFF"/>
        <w:tabs>
          <w:tab w:val="left" w:pos="90"/>
        </w:tabs>
        <w:spacing w:before="129" w:after="0" w:line="240" w:lineRule="auto"/>
        <w:ind w:left="-90" w:hanging="18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7E272E">
      <w:pPr>
        <w:shd w:val="clear" w:color="auto" w:fill="FFFFFF"/>
        <w:tabs>
          <w:tab w:val="left" w:pos="90"/>
        </w:tabs>
        <w:spacing w:before="129" w:after="0" w:line="240" w:lineRule="auto"/>
        <w:ind w:left="-90" w:hanging="18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655204" w:rsidRDefault="00655204" w:rsidP="00715C50">
      <w:pPr>
        <w:shd w:val="clear" w:color="auto" w:fill="FFFFFF"/>
        <w:tabs>
          <w:tab w:val="left" w:pos="90"/>
        </w:tabs>
        <w:spacing w:before="129" w:after="0" w:line="240" w:lineRule="auto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7E272E" w:rsidRDefault="007E272E" w:rsidP="007E272E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lastRenderedPageBreak/>
        <w:t>Scores by School Size</w:t>
      </w:r>
    </w:p>
    <w:p w:rsidR="007E272E" w:rsidRDefault="007E272E" w:rsidP="007E272E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The table below summarize</w:t>
      </w:r>
      <w:r w:rsidR="00501C0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performance by school size. The medium size schools with 1,000 to 2,000 students are the schools with the highest percentage overall passing, 90.62</w:t>
      </w:r>
      <w:r w:rsidR="00F0458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The small size schools with less than 1,000 students are the second</w:t>
      </w:r>
      <w:r w:rsidR="00F0458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rank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in the </w:t>
      </w:r>
      <w:r w:rsidR="00F0458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percentage overall passing rate of 89.88%. Lastly, the large school size with 2,000 to 5,000 students are the school with the lowest percentage overall passing rate of 58.28%.</w:t>
      </w:r>
      <w:r w:rsidR="00503A35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</w:p>
    <w:p w:rsidR="00503A35" w:rsidRDefault="00503A35" w:rsidP="007E272E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7E272E" w:rsidRDefault="007E272E" w:rsidP="007E272E">
      <w:pPr>
        <w:pStyle w:val="ListParagraph"/>
        <w:shd w:val="clear" w:color="auto" w:fill="FFFFFF"/>
        <w:tabs>
          <w:tab w:val="left" w:pos="450"/>
        </w:tabs>
        <w:spacing w:before="129" w:after="0" w:line="240" w:lineRule="auto"/>
        <w:ind w:left="-27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>
            <wp:extent cx="6886575" cy="12845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28" cy="12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35" w:rsidRDefault="00503A35" w:rsidP="007E272E">
      <w:pPr>
        <w:pStyle w:val="ListParagraph"/>
        <w:shd w:val="clear" w:color="auto" w:fill="FFFFFF"/>
        <w:tabs>
          <w:tab w:val="left" w:pos="450"/>
        </w:tabs>
        <w:spacing w:before="129" w:after="0" w:line="240" w:lineRule="auto"/>
        <w:ind w:left="-27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503A35" w:rsidRDefault="00503A35" w:rsidP="007E272E">
      <w:pPr>
        <w:pStyle w:val="ListParagraph"/>
        <w:shd w:val="clear" w:color="auto" w:fill="FFFFFF"/>
        <w:tabs>
          <w:tab w:val="left" w:pos="450"/>
        </w:tabs>
        <w:spacing w:before="129" w:after="0" w:line="240" w:lineRule="auto"/>
        <w:ind w:left="-27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7E272E" w:rsidRDefault="007E272E" w:rsidP="007E272E">
      <w:pPr>
        <w:pStyle w:val="ListParagraph"/>
        <w:shd w:val="clear" w:color="auto" w:fill="FFFFFF"/>
        <w:tabs>
          <w:tab w:val="left" w:pos="450"/>
        </w:tabs>
        <w:spacing w:before="129" w:after="0" w:line="240" w:lineRule="auto"/>
        <w:ind w:left="-27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49440A" w:rsidRDefault="007E272E" w:rsidP="007E272E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 w:rsidRPr="007E272E"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  <w:t>Scores by School Type</w:t>
      </w:r>
    </w:p>
    <w:p w:rsidR="007E272E" w:rsidRPr="007E272E" w:rsidRDefault="007E272E" w:rsidP="007E272E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The table below summarize</w:t>
      </w:r>
      <w:r w:rsidR="00501C0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the performance by school type. 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Comparing students’ performance from both school types, the result </w:t>
      </w:r>
      <w:r w:rsidR="005B6FE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shows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that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perform better than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in both math and reading. As shown below, the percentage of passing math and passing reading of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is 93.62%</w:t>
      </w:r>
      <w:r w:rsidR="005B6FE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and 95.58% respectively, while the percentage of passing math and reading of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 is 66.54% and 80</w:t>
      </w:r>
      <w:r w:rsidR="005B6FED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.</w:t>
      </w:r>
      <w:r w:rsidR="001613BE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79% respectively.</w:t>
      </w:r>
    </w:p>
    <w:p w:rsidR="007E272E" w:rsidRPr="007E272E" w:rsidRDefault="007E272E" w:rsidP="007E272E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1C343F" w:rsidRDefault="007E272E" w:rsidP="007E272E">
      <w:pPr>
        <w:shd w:val="clear" w:color="auto" w:fill="FFFFFF"/>
        <w:tabs>
          <w:tab w:val="left" w:pos="0"/>
        </w:tabs>
        <w:spacing w:before="129" w:after="0" w:line="240" w:lineRule="auto"/>
        <w:ind w:hanging="270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>
            <wp:extent cx="6799881" cy="1114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624" cy="11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84" w:rsidRDefault="00DB2684" w:rsidP="00595979">
      <w:pPr>
        <w:shd w:val="clear" w:color="auto" w:fill="FFFFFF"/>
        <w:tabs>
          <w:tab w:val="left" w:pos="0"/>
        </w:tabs>
        <w:spacing w:before="129" w:after="0" w:line="240" w:lineRule="auto"/>
        <w:jc w:val="both"/>
        <w:outlineLvl w:val="0"/>
        <w:rPr>
          <w:rFonts w:ascii="Garamond" w:eastAsia="Times New Roman" w:hAnsi="Garamond" w:cs="Helvetica"/>
          <w:b/>
          <w:bCs/>
          <w:color w:val="000000"/>
          <w:kern w:val="36"/>
          <w:sz w:val="24"/>
          <w:szCs w:val="24"/>
          <w14:ligatures w14:val="none"/>
        </w:rPr>
      </w:pPr>
    </w:p>
    <w:p w:rsidR="006F6FC8" w:rsidRDefault="00595979" w:rsidP="002A54F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Analysis and </w:t>
      </w:r>
      <w:r w:rsidR="00715C50">
        <w:rPr>
          <w:rFonts w:ascii="Garamond" w:hAnsi="Garamond"/>
          <w:sz w:val="24"/>
          <w:szCs w:val="24"/>
        </w:rPr>
        <w:t>Conclusion</w:t>
      </w:r>
    </w:p>
    <w:p w:rsidR="00595979" w:rsidRDefault="00595979" w:rsidP="00595979">
      <w:pPr>
        <w:shd w:val="clear" w:color="auto" w:fill="FFFFFF"/>
        <w:spacing w:before="129" w:after="0" w:line="240" w:lineRule="auto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In conclusion,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perform better than students from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in all metrics for reading and math despite having less budget. One noticeable trend in this study is that, as the budget per student increase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s, the students’ average scores in both mat and reading, as well as percentage of passing math and reading and overall passing rate decreases. </w:t>
      </w:r>
    </w:p>
    <w:p w:rsidR="0016473D" w:rsidRPr="00595979" w:rsidRDefault="0016473D" w:rsidP="00595979">
      <w:pPr>
        <w:shd w:val="clear" w:color="auto" w:fill="FFFFFF"/>
        <w:spacing w:before="129" w:after="0" w:line="240" w:lineRule="auto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Also, as the size of the school increase, the students’ performance drop. It can be implied that the size of the school </w:t>
      </w:r>
      <w:r w:rsidR="00773BB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has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a significant impact on students’ performance. The larger </w:t>
      </w:r>
      <w:r w:rsidR="00773BB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the 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size of the school, the lower the students’ passing rate. In order to improve the students’ performance, the 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district</w:t>
      </w:r>
      <w:r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may need to restructure the school size or student per class size</w:t>
      </w:r>
      <w:r w:rsidRPr="00300B0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Student in smaller group perform better because they </w:t>
      </w:r>
      <w:r w:rsidR="00773BB9" w:rsidRPr="00300B0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can receive</w:t>
      </w:r>
      <w:r w:rsidRPr="00300B0F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more attention from teachers.</w:t>
      </w:r>
    </w:p>
    <w:p w:rsidR="00595979" w:rsidRPr="00595979" w:rsidRDefault="00595979" w:rsidP="00595979">
      <w:pPr>
        <w:shd w:val="clear" w:color="auto" w:fill="FFFFFF"/>
        <w:spacing w:before="129" w:after="0" w:line="240" w:lineRule="auto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lastRenderedPageBreak/>
        <w:t xml:space="preserve">The top 5 performing schools, which are all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schools, have an overall passing rate at 90% while the bottom 5 schools, which are all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school, have an overall passing rate at 53%. The gap between the overall passing rate of the top 5 and the bottom 5 is very big. It can be implied that the quality of teaching in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c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harter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schools is better than in 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d</w:t>
      </w:r>
      <w:r w:rsidR="003971A8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istrict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 school</w:t>
      </w:r>
      <w:r w:rsidR="00B243D4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>s</w:t>
      </w:r>
      <w:r w:rsidRPr="00595979"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  <w:t xml:space="preserve">. </w:t>
      </w:r>
    </w:p>
    <w:p w:rsidR="00595979" w:rsidRPr="00595979" w:rsidRDefault="00595979" w:rsidP="00595979">
      <w:pPr>
        <w:pStyle w:val="ListParagraph"/>
        <w:shd w:val="clear" w:color="auto" w:fill="FFFFFF"/>
        <w:spacing w:before="129" w:after="0" w:line="240" w:lineRule="auto"/>
        <w:ind w:left="360"/>
        <w:outlineLvl w:val="0"/>
        <w:rPr>
          <w:rFonts w:ascii="Garamond" w:eastAsia="Times New Roman" w:hAnsi="Garamond" w:cs="Helvetica"/>
          <w:color w:val="000000"/>
          <w:kern w:val="36"/>
          <w:sz w:val="24"/>
          <w:szCs w:val="24"/>
          <w14:ligatures w14:val="none"/>
        </w:rPr>
      </w:pPr>
    </w:p>
    <w:p w:rsidR="00595979" w:rsidRDefault="00595979" w:rsidP="00595979">
      <w:pPr>
        <w:jc w:val="both"/>
        <w:rPr>
          <w:rFonts w:ascii="Garamond" w:hAnsi="Garamond" w:cs="Helvetica"/>
          <w:color w:val="000000"/>
          <w:sz w:val="24"/>
          <w:szCs w:val="24"/>
        </w:rPr>
      </w:pPr>
      <w:r w:rsidRPr="00595979">
        <w:rPr>
          <w:rFonts w:ascii="Garamond" w:hAnsi="Garamond" w:cs="Helvetica"/>
          <w:color w:val="000000"/>
          <w:sz w:val="24"/>
          <w:szCs w:val="24"/>
        </w:rPr>
        <w:t xml:space="preserve">Rodriguez High School is the lowest performing school despite having a relatively high spending budget per students. Student performance improvement is needed for </w:t>
      </w:r>
      <w:r w:rsidR="0016473D" w:rsidRPr="00595979">
        <w:rPr>
          <w:rFonts w:ascii="Garamond" w:hAnsi="Garamond" w:cs="Helvetica"/>
          <w:color w:val="000000"/>
          <w:sz w:val="24"/>
          <w:szCs w:val="24"/>
        </w:rPr>
        <w:t>those 5 bottoms</w:t>
      </w:r>
      <w:r w:rsidRPr="00595979">
        <w:rPr>
          <w:rFonts w:ascii="Garamond" w:hAnsi="Garamond" w:cs="Helvetica"/>
          <w:color w:val="000000"/>
          <w:sz w:val="24"/>
          <w:szCs w:val="24"/>
        </w:rPr>
        <w:t xml:space="preserve"> perform </w:t>
      </w:r>
      <w:r w:rsidR="00B243D4">
        <w:rPr>
          <w:rFonts w:ascii="Garamond" w:hAnsi="Garamond" w:cs="Helvetica"/>
          <w:color w:val="000000"/>
          <w:sz w:val="24"/>
          <w:szCs w:val="24"/>
        </w:rPr>
        <w:t>d</w:t>
      </w:r>
      <w:r w:rsidR="003971A8">
        <w:rPr>
          <w:rFonts w:ascii="Garamond" w:hAnsi="Garamond" w:cs="Helvetica"/>
          <w:color w:val="000000"/>
          <w:sz w:val="24"/>
          <w:szCs w:val="24"/>
        </w:rPr>
        <w:t>istrict</w:t>
      </w:r>
      <w:r w:rsidRPr="00595979">
        <w:rPr>
          <w:rFonts w:ascii="Garamond" w:hAnsi="Garamond" w:cs="Helvetica"/>
          <w:color w:val="000000"/>
          <w:sz w:val="24"/>
          <w:szCs w:val="24"/>
        </w:rPr>
        <w:t xml:space="preserve"> </w:t>
      </w:r>
      <w:r w:rsidR="00B243D4">
        <w:rPr>
          <w:rFonts w:ascii="Garamond" w:hAnsi="Garamond" w:cs="Helvetica"/>
          <w:color w:val="000000"/>
          <w:sz w:val="24"/>
          <w:szCs w:val="24"/>
        </w:rPr>
        <w:t>s</w:t>
      </w:r>
      <w:r w:rsidRPr="00595979">
        <w:rPr>
          <w:rFonts w:ascii="Garamond" w:hAnsi="Garamond" w:cs="Helvetica"/>
          <w:color w:val="000000"/>
          <w:sz w:val="24"/>
          <w:szCs w:val="24"/>
        </w:rPr>
        <w:t>chool</w:t>
      </w:r>
      <w:r>
        <w:rPr>
          <w:rFonts w:ascii="Garamond" w:hAnsi="Garamond" w:cs="Helvetica"/>
          <w:color w:val="000000"/>
          <w:sz w:val="24"/>
          <w:szCs w:val="24"/>
        </w:rPr>
        <w:t>s</w:t>
      </w:r>
      <w:r w:rsidRPr="00595979">
        <w:rPr>
          <w:rFonts w:ascii="Garamond" w:hAnsi="Garamond" w:cs="Helvetica"/>
          <w:color w:val="000000"/>
          <w:sz w:val="24"/>
          <w:szCs w:val="24"/>
        </w:rPr>
        <w:t xml:space="preserve"> since the overall passing rate is </w:t>
      </w:r>
      <w:r>
        <w:rPr>
          <w:rFonts w:ascii="Garamond" w:hAnsi="Garamond" w:cs="Helvetica"/>
          <w:color w:val="000000"/>
          <w:sz w:val="24"/>
          <w:szCs w:val="24"/>
        </w:rPr>
        <w:t xml:space="preserve">only </w:t>
      </w:r>
      <w:r w:rsidRPr="00595979">
        <w:rPr>
          <w:rFonts w:ascii="Garamond" w:hAnsi="Garamond" w:cs="Helvetica"/>
          <w:color w:val="000000"/>
          <w:sz w:val="24"/>
          <w:szCs w:val="24"/>
        </w:rPr>
        <w:t>about 53%.</w:t>
      </w:r>
    </w:p>
    <w:p w:rsidR="0002209B" w:rsidRPr="00595979" w:rsidRDefault="0002209B" w:rsidP="00595979">
      <w:pPr>
        <w:jc w:val="both"/>
        <w:rPr>
          <w:rFonts w:ascii="Garamond" w:hAnsi="Garamond" w:cs="Helvetica"/>
          <w:color w:val="000000"/>
          <w:sz w:val="24"/>
          <w:szCs w:val="24"/>
        </w:rPr>
      </w:pPr>
      <w:r>
        <w:rPr>
          <w:rFonts w:ascii="Garamond" w:hAnsi="Garamond" w:cs="Helvetica"/>
          <w:color w:val="000000"/>
          <w:sz w:val="24"/>
          <w:szCs w:val="24"/>
        </w:rPr>
        <w:t xml:space="preserve">Additional study and research are needed in order to understand the reason why </w:t>
      </w:r>
      <w:r w:rsidR="00B243D4">
        <w:rPr>
          <w:rFonts w:ascii="Garamond" w:hAnsi="Garamond" w:cs="Helvetica"/>
          <w:color w:val="000000"/>
          <w:sz w:val="24"/>
          <w:szCs w:val="24"/>
        </w:rPr>
        <w:t>c</w:t>
      </w:r>
      <w:r w:rsidR="003971A8">
        <w:rPr>
          <w:rFonts w:ascii="Garamond" w:hAnsi="Garamond" w:cs="Helvetica"/>
          <w:color w:val="000000"/>
          <w:sz w:val="24"/>
          <w:szCs w:val="24"/>
        </w:rPr>
        <w:t>harter</w:t>
      </w:r>
      <w:r>
        <w:rPr>
          <w:rFonts w:ascii="Garamond" w:hAnsi="Garamond" w:cs="Helvetica"/>
          <w:color w:val="000000"/>
          <w:sz w:val="24"/>
          <w:szCs w:val="24"/>
        </w:rPr>
        <w:t xml:space="preserve"> schools perform better than </w:t>
      </w:r>
      <w:r w:rsidR="00B243D4">
        <w:rPr>
          <w:rFonts w:ascii="Garamond" w:hAnsi="Garamond" w:cs="Helvetica"/>
          <w:color w:val="000000"/>
          <w:sz w:val="24"/>
          <w:szCs w:val="24"/>
        </w:rPr>
        <w:t>d</w:t>
      </w:r>
      <w:r w:rsidR="003971A8">
        <w:rPr>
          <w:rFonts w:ascii="Garamond" w:hAnsi="Garamond" w:cs="Helvetica"/>
          <w:color w:val="000000"/>
          <w:sz w:val="24"/>
          <w:szCs w:val="24"/>
        </w:rPr>
        <w:t>istrict</w:t>
      </w:r>
      <w:r>
        <w:rPr>
          <w:rFonts w:ascii="Garamond" w:hAnsi="Garamond" w:cs="Helvetica"/>
          <w:color w:val="000000"/>
          <w:sz w:val="24"/>
          <w:szCs w:val="24"/>
        </w:rPr>
        <w:t xml:space="preserve"> school</w:t>
      </w:r>
      <w:r w:rsidR="00B243D4">
        <w:rPr>
          <w:rFonts w:ascii="Garamond" w:hAnsi="Garamond" w:cs="Helvetica"/>
          <w:color w:val="000000"/>
          <w:sz w:val="24"/>
          <w:szCs w:val="24"/>
        </w:rPr>
        <w:t>s</w:t>
      </w:r>
      <w:r>
        <w:rPr>
          <w:rFonts w:ascii="Garamond" w:hAnsi="Garamond" w:cs="Helvetica"/>
          <w:color w:val="000000"/>
          <w:sz w:val="24"/>
          <w:szCs w:val="24"/>
        </w:rPr>
        <w:t xml:space="preserve">. </w:t>
      </w:r>
    </w:p>
    <w:p w:rsidR="00595979" w:rsidRPr="00B91FAE" w:rsidRDefault="00595979" w:rsidP="002A54F0">
      <w:pPr>
        <w:jc w:val="both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sectPr w:rsidR="00595979" w:rsidRPr="00B91FAE" w:rsidSect="00EA4C1D">
      <w:headerReference w:type="default" r:id="rId16"/>
      <w:footerReference w:type="default" r:id="rId17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2BC2" w:rsidRDefault="00DC2BC2" w:rsidP="00655204">
      <w:pPr>
        <w:spacing w:after="0" w:line="240" w:lineRule="auto"/>
      </w:pPr>
      <w:r>
        <w:separator/>
      </w:r>
    </w:p>
  </w:endnote>
  <w:endnote w:type="continuationSeparator" w:id="0">
    <w:p w:rsidR="00DC2BC2" w:rsidRDefault="00DC2BC2" w:rsidP="0065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765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204" w:rsidRDefault="0065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5204" w:rsidRDefault="0065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2BC2" w:rsidRDefault="00DC2BC2" w:rsidP="00655204">
      <w:pPr>
        <w:spacing w:after="0" w:line="240" w:lineRule="auto"/>
      </w:pPr>
      <w:r>
        <w:separator/>
      </w:r>
    </w:p>
  </w:footnote>
  <w:footnote w:type="continuationSeparator" w:id="0">
    <w:p w:rsidR="00DC2BC2" w:rsidRDefault="00DC2BC2" w:rsidP="0065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204" w:rsidRDefault="00655204">
    <w:pPr>
      <w:pStyle w:val="Header"/>
    </w:pPr>
    <w:r>
      <w:t>Ratima Chowadee</w:t>
    </w:r>
  </w:p>
  <w:p w:rsidR="00655204" w:rsidRDefault="00655204">
    <w:pPr>
      <w:pStyle w:val="Header"/>
    </w:pPr>
    <w:r>
      <w:t>Data Analytics – GA Tech Bootcamp</w:t>
    </w:r>
  </w:p>
  <w:p w:rsidR="00655204" w:rsidRDefault="00655204">
    <w:pPr>
      <w:pStyle w:val="Header"/>
    </w:pPr>
    <w:r>
      <w:t>Dr. Carl Arrington</w:t>
    </w:r>
  </w:p>
  <w:p w:rsidR="00655204" w:rsidRDefault="00655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E6D"/>
    <w:multiLevelType w:val="multilevel"/>
    <w:tmpl w:val="8E2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303A9"/>
    <w:multiLevelType w:val="multilevel"/>
    <w:tmpl w:val="4F9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D17AF"/>
    <w:multiLevelType w:val="hybridMultilevel"/>
    <w:tmpl w:val="F8E4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834551">
    <w:abstractNumId w:val="1"/>
  </w:num>
  <w:num w:numId="2" w16cid:durableId="1993171483">
    <w:abstractNumId w:val="2"/>
  </w:num>
  <w:num w:numId="3" w16cid:durableId="152563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C4"/>
    <w:rsid w:val="0002209B"/>
    <w:rsid w:val="00092610"/>
    <w:rsid w:val="001613BE"/>
    <w:rsid w:val="0016473D"/>
    <w:rsid w:val="001C21C8"/>
    <w:rsid w:val="001C343F"/>
    <w:rsid w:val="00270A1B"/>
    <w:rsid w:val="002A54F0"/>
    <w:rsid w:val="00300B0F"/>
    <w:rsid w:val="003244C4"/>
    <w:rsid w:val="003971A8"/>
    <w:rsid w:val="00456D68"/>
    <w:rsid w:val="00492356"/>
    <w:rsid w:val="0049440A"/>
    <w:rsid w:val="00501C08"/>
    <w:rsid w:val="00503A35"/>
    <w:rsid w:val="00595979"/>
    <w:rsid w:val="00597306"/>
    <w:rsid w:val="005A1DD8"/>
    <w:rsid w:val="005B6FED"/>
    <w:rsid w:val="00655204"/>
    <w:rsid w:val="006948C6"/>
    <w:rsid w:val="006F6FC8"/>
    <w:rsid w:val="00715C50"/>
    <w:rsid w:val="00773BB9"/>
    <w:rsid w:val="007C037A"/>
    <w:rsid w:val="007E272E"/>
    <w:rsid w:val="0081500B"/>
    <w:rsid w:val="008D54D0"/>
    <w:rsid w:val="009E6583"/>
    <w:rsid w:val="00AE159B"/>
    <w:rsid w:val="00B243D4"/>
    <w:rsid w:val="00B91FAE"/>
    <w:rsid w:val="00D320A6"/>
    <w:rsid w:val="00D80CA0"/>
    <w:rsid w:val="00DB2684"/>
    <w:rsid w:val="00DC2BC2"/>
    <w:rsid w:val="00E7571B"/>
    <w:rsid w:val="00EA4C1D"/>
    <w:rsid w:val="00ED133B"/>
    <w:rsid w:val="00F0458F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3021"/>
  <w15:docId w15:val="{4200B9EB-09FD-415A-9AD9-5BC33287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04"/>
  </w:style>
  <w:style w:type="paragraph" w:styleId="Footer">
    <w:name w:val="footer"/>
    <w:basedOn w:val="Normal"/>
    <w:link w:val="FooterChar"/>
    <w:uiPriority w:val="99"/>
    <w:unhideWhenUsed/>
    <w:rsid w:val="0065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Sanpetch Chowadee</dc:creator>
  <cp:keywords/>
  <dc:description/>
  <cp:lastModifiedBy>Sanpetch Chowadee</cp:lastModifiedBy>
  <cp:revision>23</cp:revision>
  <dcterms:created xsi:type="dcterms:W3CDTF">2023-02-20T00:53:00Z</dcterms:created>
  <dcterms:modified xsi:type="dcterms:W3CDTF">2023-02-20T23:43:00Z</dcterms:modified>
</cp:coreProperties>
</file>