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Rà soát biên bản ước lượng Story Point</w:t>
      </w:r>
    </w:p>
    <w:p>
      <w:pPr>
        <w:spacing w:after="240"/>
        <w:jc w:val="center"/>
      </w:pPr>
      <w:r>
        <w:rPr>
          <w:rFonts w:ascii="Arial" w:cs="Arial" w:eastAsia="Arial" w:hAnsi="Arial"/>
          <w:color w:val="555555"/>
          <w:sz w:val="22"/>
          <w:szCs w:val="22"/>
        </w:rPr>
        <w:t xml:space="preserve">Dự án RikkeiGo · Người thực hiện: Lan (Scrum Master)</w:t>
      </w:r>
    </w:p>
    <w:p>
      <w:pPr>
        <w:pStyle w:val="Heading1"/>
        <w:spacing w:after="160" w:before="240"/>
      </w:pPr>
      <w:r>
        <w:rPr>
          <w:rFonts w:ascii="Arial" w:cs="Arial" w:eastAsia="Arial" w:hAnsi="Arial"/>
          <w:b/>
          <w:bCs/>
          <w:sz w:val="28"/>
          <w:szCs w:val="28"/>
        </w:rPr>
        <w:t xml:space="preserve">Phần 1 - Phân tích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668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Mã</w:t>
            </w:r>
          </w:p>
        </w:tc>
        <w:tc>
          <w:tcPr>
            <w:tcW w:type="dxa" w:w="2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Hợp lý / Chưa hợp lý</w:t>
            </w:r>
          </w:p>
        </w:tc>
        <w:tc>
          <w:tcPr>
            <w:tcW w:type="dxa" w:w="4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Quy tắc bị vi phạm</w:t>
            </w:r>
          </w:p>
        </w:tc>
        <w:tc>
          <w:tcPr>
            <w:tcW w:type="dxa" w:w="668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Hậu quả khi lập kế hoạch Sprint</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P1</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Chưa hợp lý</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(1) Thẻ lệch nhau là tín hiệu tìm giả định và rủi ro, không phải để lấy trung bình. (2) Kết quả chốt phải là một giá trị trên thang của đội (4 SP không có trong 1, 2, 3, 5, 8, 13, 21).</w:t>
            </w:r>
          </w:p>
        </w:tc>
        <w:tc>
          <w:tcPr>
            <w:tcW w:type="dxa" w:w="66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Đội dùng một con số không tồn tại trên thang, nên tổng SP và velocity bị tính lệch. Việc lấy trung bình cũng bỏ qua cuộc thảo luận giữa nhóm chọn 3 và nhóm chọn 5, nên các giả định ẩn không được lộ ra.</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P2</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Chưa hợp lý</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Developers là người chọn thẻ; PO làm rõ giá trị và phạm vi, không quyết định SP. Thẻ lệch (5 đến 13) là tín hiệu rủi ro chưa rõ, không được bỏ qua để "kịp kế hoạch".</w:t>
            </w:r>
          </w:p>
        </w:tc>
        <w:tc>
          <w:tcPr>
            <w:tcW w:type="dxa" w:w="66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SP bị ép xuống 5 theo áp lực tiến độ, trong khi phần lớn Developers thấy lớn hơn nhiều. Sprint có nguy cơ nhận quá tải, trượt Sprint Goal, và Developers mất quyền làm chủ ước lượng.</w:t>
            </w:r>
          </w:p>
        </w:tc>
      </w:tr>
      <w:tr>
        <w:tc>
          <w:tcPr>
            <w:tcW w:type="dxa" w:w="800"/>
            <w:tcBorders>
              <w:top w:val="single" w:color="999999" w:sz="4"/>
              <w:left w:val="single" w:color="999999" w:sz="4"/>
              <w:bottom w:val="single" w:color="999999" w:sz="4"/>
              <w:right w:val="single" w:color="999999" w:sz="4"/>
            </w:tcBorders>
            <w:shd w:fill="E2EFDA" w:color="auto" w:val="clear"/>
            <w:tcMar>
              <w:top w:type="dxa" w:w="80"/>
              <w:left w:type="dxa" w:w="100"/>
              <w:bottom w:type="dxa" w:w="80"/>
              <w:right w:type="dxa" w:w="100"/>
            </w:tcMar>
          </w:tcPr>
          <w:p>
            <w:r>
              <w:rPr>
                <w:rFonts w:ascii="Arial" w:cs="Arial" w:eastAsia="Arial" w:hAnsi="Arial"/>
                <w:b/>
                <w:bCs/>
                <w:sz w:val="20"/>
                <w:szCs w:val="20"/>
              </w:rPr>
              <w:t xml:space="preserve">P3</w:t>
            </w:r>
          </w:p>
        </w:tc>
        <w:tc>
          <w:tcPr>
            <w:tcW w:type="dxa" w:w="2200"/>
            <w:tcBorders>
              <w:top w:val="single" w:color="999999" w:sz="4"/>
              <w:left w:val="single" w:color="999999" w:sz="4"/>
              <w:bottom w:val="single" w:color="999999" w:sz="4"/>
              <w:right w:val="single" w:color="999999" w:sz="4"/>
            </w:tcBorders>
            <w:shd w:fill="E2EFDA" w:color="auto" w:val="clear"/>
            <w:tcMar>
              <w:top w:type="dxa" w:w="80"/>
              <w:left w:type="dxa" w:w="100"/>
              <w:bottom w:type="dxa" w:w="80"/>
              <w:right w:type="dxa" w:w="100"/>
            </w:tcMar>
          </w:tcPr>
          <w:p>
            <w:r>
              <w:rPr>
                <w:rFonts w:ascii="Arial" w:cs="Arial" w:eastAsia="Arial" w:hAnsi="Arial"/>
                <w:b/>
                <w:bCs/>
                <w:sz w:val="20"/>
                <w:szCs w:val="20"/>
              </w:rPr>
              <w:t xml:space="preserve">Hợp lý</w:t>
            </w:r>
          </w:p>
        </w:tc>
        <w:tc>
          <w:tcPr>
            <w:tcW w:type="dxa" w:w="4000"/>
            <w:tcBorders>
              <w:top w:val="single" w:color="999999" w:sz="4"/>
              <w:left w:val="single" w:color="999999" w:sz="4"/>
              <w:bottom w:val="single" w:color="999999" w:sz="4"/>
              <w:right w:val="single" w:color="999999" w:sz="4"/>
            </w:tcBorders>
            <w:shd w:fill="E2EFDA" w:color="auto" w:val="clear"/>
            <w:tcMar>
              <w:top w:type="dxa" w:w="80"/>
              <w:left w:type="dxa" w:w="100"/>
              <w:bottom w:type="dxa" w:w="80"/>
              <w:right w:type="dxa" w:w="100"/>
            </w:tcMar>
          </w:tcPr>
          <w:p>
            <w:r>
              <w:rPr>
                <w:rFonts w:ascii="Arial" w:cs="Arial" w:eastAsia="Arial" w:hAnsi="Arial"/>
                <w:b w:val="false"/>
                <w:bCs w:val="false"/>
                <w:sz w:val="20"/>
                <w:szCs w:val="20"/>
              </w:rPr>
              <w:t xml:space="preserve">Không vi phạm.</w:t>
            </w:r>
          </w:p>
        </w:tc>
        <w:tc>
          <w:tcPr>
            <w:tcW w:type="dxa" w:w="6680"/>
            <w:tcBorders>
              <w:top w:val="single" w:color="999999" w:sz="4"/>
              <w:left w:val="single" w:color="999999" w:sz="4"/>
              <w:bottom w:val="single" w:color="999999" w:sz="4"/>
              <w:right w:val="single" w:color="999999" w:sz="4"/>
            </w:tcBorders>
            <w:shd w:fill="E2EFDA" w:color="auto" w:val="clear"/>
            <w:tcMar>
              <w:top w:type="dxa" w:w="80"/>
              <w:left w:type="dxa" w:w="100"/>
              <w:bottom w:type="dxa" w:w="80"/>
              <w:right w:type="dxa" w:w="100"/>
            </w:tcMar>
          </w:tcPr>
          <w:p>
            <w:r>
              <w:rPr>
                <w:rFonts w:ascii="Arial" w:cs="Arial" w:eastAsia="Arial" w:hAnsi="Arial"/>
                <w:b w:val="false"/>
                <w:bCs w:val="false"/>
                <w:sz w:val="20"/>
                <w:szCs w:val="20"/>
              </w:rPr>
              <w:t xml:space="preserve">Hai đầu (3 và 8) giải thích đúng quy trình, chọn lại hội tụ về 5 là giá trị nằm trên thang. Không sửa.</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P4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Chưa hợp lý (số đúng, ghi chú sai)</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SP là độ lớn tương đối, không quy đổi cố định sang giờ hoặc ngày ("13 SP = 52 giờ").</w:t>
            </w:r>
          </w:p>
        </w:tc>
        <w:tc>
          <w:tcPr>
            <w:tcW w:type="dxa" w:w="66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Con số 13 SP vẫn hợp lý, nhưng ghi chú khiến người đọc coi SP là giờ. Việc lập kế hoạch Sprint có thể chuyển sang cộng giờ, so sánh các PBI sai và ép cam kết theo giờ, làm velocity mất ý nghĩa.</w:t>
            </w:r>
          </w:p>
        </w:tc>
      </w:tr>
      <w:tr>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P5</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Chưa hợp lý</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(1) Thẻ lệch không được xử lý theo đa số. (2) PBI chưa đủ rõ thì làm rõ rồi mới ước lượng (chưa biết mã có dùng chung với khuyến mãi khác không).</w:t>
            </w:r>
          </w:p>
        </w:tc>
        <w:tc>
          <w:tcPr>
            <w:tcW w:type="dxa" w:w="66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13 SP dựa trên giả định chưa kiểm chứng. Nếu mã được dùng chung với khuyến mãi khác thì độ lớn có thể còn cao hơn, nếu không thì có thể thấp hơn. Sprint dễ bị dự trữ sai, phải ước lượng lại giữa Sprint, và rủi ro tích hợp đúng như Tú lo ngại vẫn còn ẩn.</w:t>
            </w:r>
          </w:p>
        </w:tc>
      </w:tr>
    </w:tbl>
    <w:p>
      <w:pPr>
        <w:pStyle w:val="Heading1"/>
        <w:spacing w:after="160" w:before="240"/>
      </w:pPr>
      <w:r>
        <w:rPr>
          <w:rFonts w:ascii="Arial" w:cs="Arial" w:eastAsia="Arial" w:hAnsi="Arial"/>
          <w:b/>
          <w:bCs/>
          <w:sz w:val="28"/>
          <w:szCs w:val="28"/>
        </w:rPr>
        <w:t xml:space="preserve">Phần 2 - Sửa lỗi</w:t>
      </w:r>
    </w:p>
    <w:p>
      <w:pPr>
        <w:spacing w:after="140"/>
      </w:pPr>
      <w:r>
        <w:rPr>
          <w:rFonts w:ascii="Arial" w:cs="Arial" w:eastAsia="Arial" w:hAnsi="Arial"/>
          <w:b/>
          <w:bCs/>
          <w:sz w:val="20"/>
          <w:szCs w:val="20"/>
        </w:rPr>
        <w:t xml:space="preserve">P1: </w:t>
      </w:r>
      <w:r>
        <w:rPr>
          <w:rFonts w:ascii="Arial" w:cs="Arial" w:eastAsia="Arial" w:hAnsi="Arial"/>
          <w:b w:val="false"/>
          <w:bCs w:val="false"/>
          <w:sz w:val="20"/>
          <w:szCs w:val="20"/>
        </w:rPr>
        <w:t xml:space="preserve">Lan yêu cầu hủy kết quả 4 SP. Người chọn 3 và người chọn 5 giải thích lý do (ví dụ: có xác thực OTP, giới hạn số lần thử hay không), rồi Developers chọn lại kín và lật đồng thời cho đến khi hội tụ về một giá trị trên thang.</w:t>
      </w:r>
    </w:p>
    <w:p>
      <w:pPr>
        <w:spacing w:after="140"/>
      </w:pPr>
      <w:r>
        <w:rPr>
          <w:rFonts w:ascii="Arial" w:cs="Arial" w:eastAsia="Arial" w:hAnsi="Arial"/>
          <w:b/>
          <w:bCs/>
          <w:sz w:val="20"/>
          <w:szCs w:val="20"/>
        </w:rPr>
        <w:t xml:space="preserve">P2: </w:t>
      </w:r>
      <w:r>
        <w:rPr>
          <w:rFonts w:ascii="Arial" w:cs="Arial" w:eastAsia="Arial" w:hAnsi="Arial"/>
          <w:b w:val="false"/>
          <w:bCs w:val="false"/>
          <w:sz w:val="20"/>
          <w:szCs w:val="20"/>
        </w:rPr>
        <w:t xml:space="preserve">Hủy kết quả 5 SP. Người chọn 5 và người chọn 13 giải thích giả định của mình (ví dụ: API RikkeiPay, môi trường thử nghiệm, xử lý lỗi giao dịch). Đức (PO) chỉ làm rõ phạm vi, giá trị và các trường hợp bắt buộc phải có trong Sprint này. Sau đó Developers tự chọn lại. Nếu vẫn lệch lớn, đội cân nhắc tách PBI thành các phần nhỏ hơn rồi ước lượng từng phần.</w:t>
      </w:r>
    </w:p>
    <w:p>
      <w:pPr>
        <w:spacing w:after="140"/>
      </w:pPr>
      <w:r>
        <w:rPr>
          <w:rFonts w:ascii="Arial" w:cs="Arial" w:eastAsia="Arial" w:hAnsi="Arial"/>
          <w:b/>
          <w:bCs/>
          <w:sz w:val="20"/>
          <w:szCs w:val="20"/>
        </w:rPr>
        <w:t xml:space="preserve">P3: </w:t>
      </w:r>
      <w:r>
        <w:rPr>
          <w:rFonts w:ascii="Arial" w:cs="Arial" w:eastAsia="Arial" w:hAnsi="Arial"/>
          <w:b w:val="false"/>
          <w:bCs w:val="false"/>
          <w:sz w:val="20"/>
          <w:szCs w:val="20"/>
        </w:rPr>
        <w:t xml:space="preserve">Giữ nguyên 5 SP, không cần xử lý thêm.</w:t>
      </w:r>
    </w:p>
    <w:p>
      <w:pPr>
        <w:spacing w:after="140"/>
      </w:pPr>
      <w:r>
        <w:rPr>
          <w:rFonts w:ascii="Arial" w:cs="Arial" w:eastAsia="Arial" w:hAnsi="Arial"/>
          <w:b/>
          <w:bCs/>
          <w:sz w:val="20"/>
          <w:szCs w:val="20"/>
        </w:rPr>
        <w:t xml:space="preserve">P4: </w:t>
      </w:r>
      <w:r>
        <w:rPr>
          <w:rFonts w:ascii="Arial" w:cs="Arial" w:eastAsia="Arial" w:hAnsi="Arial"/>
          <w:b w:val="false"/>
          <w:bCs w:val="false"/>
          <w:sz w:val="20"/>
          <w:szCs w:val="20"/>
        </w:rPr>
        <w:t xml:space="preserve">Giữ nguyên 13 SP, không bốc thăm lại. Lan yêu cầu xóa ghi chú "13 SP = 52 giờ" và thay bằng ghi chú về độ lớn tương đối (ví dụ: lớn hơn Reference Story 3 SP vì có bản đồ thời gian thực và cập nhật vị trí liên tục). Đội cũng nên cân nhắc tách PBI nếu 13 SP quá lớn để hoàn thành trong một Sprint.</w:t>
      </w:r>
    </w:p>
    <w:p>
      <w:pPr>
        <w:spacing w:after="140"/>
      </w:pPr>
      <w:r>
        <w:rPr>
          <w:rFonts w:ascii="Arial" w:cs="Arial" w:eastAsia="Arial" w:hAnsi="Arial"/>
          <w:b/>
          <w:bCs/>
          <w:sz w:val="20"/>
          <w:szCs w:val="20"/>
        </w:rPr>
        <w:t xml:space="preserve">P5: </w:t>
      </w:r>
      <w:r>
        <w:rPr>
          <w:rFonts w:ascii="Arial" w:cs="Arial" w:eastAsia="Arial" w:hAnsi="Arial"/>
          <w:b w:val="false"/>
          <w:bCs w:val="false"/>
          <w:sz w:val="20"/>
          <w:szCs w:val="20"/>
        </w:rPr>
        <w:t xml:space="preserve">Hủy kết quả 13 SP. Đức (PO) làm rõ trước các điểm: mã giới thiệu có được dùng cùng khuyến mãi khác không, giới hạn số lần dùng, đối tượng được áp dụng. Sau khi có câu trả lời, Developers (kể cả Tú) nêu các rủi ro tích hợp, rồi chọn lại kín và lật đồng thời. Số liệu chỉ chốt khi các thẻ hội tụ, không theo đa số.</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2026-10-13T20:05:11.128Z</dcterms:created>
  <dcterms:modified xsi:type="dcterms:W3CDTF">2026-10-13T20:05:11.137Z</dcterms:modified>
</cp:coreProperties>
</file>

<file path=docProps/custom.xml><?xml version="1.0" encoding="utf-8"?>
<Properties xmlns="http://schemas.openxmlformats.org/officeDocument/2006/custom-properties" xmlns:vt="http://schemas.openxmlformats.org/officeDocument/2006/docPropsVTypes"/>
</file>