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  <w:pBdr>
          <w:bottom w:val="single" w:sz="4" w:space="3" w:color="000000"/>
        </w:pBdr>
      </w:pPr>
      <w:r>
        <w:rPr>
          <w:rFonts w:ascii="Arial" w:hAnsi="Arial" w:cs="Arial"/>
          <w:b/>
          <w:color w:val="000000"/>
          <w:sz w:val="38"/>
        </w:rPr>
        <w:t>Ata da Segunda Orientação Coletiva de TCCs</w:t>
      </w:r>
    </w:p>
    <w:p>
      <w:pPr>
        <w:spacing w:before="80" w:after="280"/>
      </w:pPr>
      <w:r>
        <w:rPr>
          <w:rFonts w:ascii="Arial" w:hAnsi="Arial" w:cs="Arial"/>
          <w:i/>
          <w:color w:val="000000"/>
          <w:sz w:val="22"/>
        </w:rPr>
        <w:t>Síntese: proposta, documentação e desenvolvimento com IA</w:t>
      </w:r>
    </w:p>
    <w:p>
      <w:pPr>
        <w:spacing w:after="240"/>
      </w:pPr>
      <w:r>
        <w:rPr>
          <w:rFonts w:ascii="Arial" w:hAnsi="Arial" w:cs="Arial"/>
          <w:i w:val="0"/>
          <w:color w:val="000000"/>
          <w:sz w:val="22"/>
        </w:rPr>
        <w:t>Este registro consolida as orientações apresentadas na segunda reunião coletiva. Ele complementa os direcionamentos específicos já discutidos para cada projeto e organiza a sequência de trabalho da revisão da proposta até o início do desenvolvimento de forma rastreável e defensável no TCC.</w:t>
      </w:r>
    </w:p>
    <w:p>
      <w:pPr>
        <w:pStyle w:val="Heading1"/>
      </w:pPr>
      <w:r>
        <w:t>1. Registro do encontro</w:t>
      </w:r>
    </w:p>
    <w:p>
      <w:pPr/>
      <w:r>
        <w:rPr>
          <w:rFonts w:ascii="Arial" w:hAnsi="Arial" w:cs="Arial"/>
          <w:b/>
          <w:color w:val="000000"/>
          <w:sz w:val="22"/>
        </w:rPr>
        <w:t>Data:</w:t>
      </w:r>
      <w:r>
        <w:rPr>
          <w:rFonts w:ascii="Arial" w:hAnsi="Arial" w:cs="Arial"/>
          <w:i w:val="0"/>
          <w:color w:val="000000"/>
          <w:sz w:val="22"/>
        </w:rPr>
        <w:t xml:space="preserve"> Não informada na transcrição.</w:t>
      </w:r>
    </w:p>
    <w:p>
      <w:pPr/>
      <w:r>
        <w:rPr>
          <w:rFonts w:ascii="Arial" w:hAnsi="Arial" w:cs="Arial"/>
          <w:b/>
          <w:color w:val="000000"/>
          <w:sz w:val="22"/>
        </w:rPr>
        <w:t>Duração aproximada:</w:t>
      </w:r>
      <w:r>
        <w:rPr>
          <w:rFonts w:ascii="Arial" w:hAnsi="Arial" w:cs="Arial"/>
          <w:i w:val="0"/>
          <w:color w:val="000000"/>
          <w:sz w:val="22"/>
        </w:rPr>
        <w:t xml:space="preserve"> 1h01min, conforme as marcações de tempo disponíveis.</w:t>
      </w:r>
    </w:p>
    <w:p>
      <w:pPr/>
      <w:r>
        <w:rPr>
          <w:rFonts w:ascii="Arial" w:hAnsi="Arial" w:cs="Arial"/>
          <w:b/>
          <w:color w:val="000000"/>
          <w:sz w:val="22"/>
        </w:rPr>
        <w:t>Participantes:</w:t>
      </w:r>
      <w:r>
        <w:rPr>
          <w:rFonts w:ascii="Arial" w:hAnsi="Arial" w:cs="Arial"/>
          <w:i w:val="0"/>
          <w:color w:val="000000"/>
          <w:sz w:val="22"/>
        </w:rPr>
        <w:t xml:space="preserve"> docente orientador e estudantes; os nomes completos não estão identificados integralmente na transcrição.</w:t>
      </w:r>
    </w:p>
    <w:p>
      <w:pPr>
        <w:spacing w:after="200"/>
      </w:pPr>
      <w:r>
        <w:rPr>
          <w:rFonts w:ascii="Arial" w:hAnsi="Arial" w:cs="Arial"/>
          <w:b/>
          <w:color w:val="000000"/>
          <w:sz w:val="22"/>
        </w:rPr>
        <w:t>Finalidade:</w:t>
      </w:r>
      <w:r>
        <w:rPr>
          <w:rFonts w:ascii="Arial" w:hAnsi="Arial" w:cs="Arial"/>
          <w:i w:val="0"/>
          <w:color w:val="000000"/>
          <w:sz w:val="22"/>
        </w:rPr>
        <w:t xml:space="preserve"> revisar a elaboração da proposta e apresentar uma forma de organizar o desenvolvimento dos projetos com documentação, versionamento, testes e apoio de IA.</w:t>
      </w:r>
    </w:p>
    <w:p>
      <w:pPr>
        <w:pStyle w:val="Heading1"/>
      </w:pPr>
      <w:r>
        <w:t>2. Resumo executivo</w:t>
      </w:r>
    </w:p>
    <w:p>
      <w:pPr/>
      <w:r>
        <w:rPr>
          <w:rFonts w:ascii="Arial" w:hAnsi="Arial" w:cs="Arial"/>
          <w:i w:val="0"/>
          <w:color w:val="000000"/>
          <w:sz w:val="22"/>
        </w:rPr>
        <w:t>A orientação reforçou que a proposta deve ser concisa, formal e suficientemente delimitada para demonstrar viabilidade, sem antecipar decisões técnicas que ainda dependem de pesquisa ou possam mudar no desenvolvimento. O foco imediato é concluir a versão da proposta com objetivos claros, justificativa sustentada por fontes e metodologia inicial coerente.</w:t>
      </w:r>
    </w:p>
    <w:p>
      <w:pPr>
        <w:spacing w:after="200"/>
      </w:pPr>
      <w:r>
        <w:rPr>
          <w:rFonts w:ascii="Arial" w:hAnsi="Arial" w:cs="Arial"/>
          <w:i w:val="0"/>
          <w:color w:val="000000"/>
          <w:sz w:val="22"/>
        </w:rPr>
        <w:t>Para a etapa posterior à proposta, foi apresentado um fluxo de desenvolvimento assistido por IA que começa em documentação de engenharia de software, passa por um repositório versionado e evolui em ciclos pequenos de especificação, implementação, testes, revisão e registro. A finalidade é preservar controle humano, memória do projeto e evidências para auditoria e defesa.</w:t>
      </w:r>
    </w:p>
    <w:p>
      <w:pPr>
        <w:pStyle w:val="Heading1"/>
      </w:pPr>
      <w:r>
        <w:t>3. Orientações para a proposta de TCC</w:t>
      </w:r>
    </w:p>
    <w:p>
      <w:pPr>
        <w:pStyle w:val="Heading2"/>
      </w:pPr>
      <w:r>
        <w:t>Manter abertura técnica sem perder identidade</w:t>
      </w:r>
    </w:p>
    <w:p>
      <w:pPr/>
      <w:r>
        <w:rPr>
          <w:rFonts w:ascii="Arial" w:hAnsi="Arial" w:cs="Arial"/>
          <w:i w:val="0"/>
          <w:color w:val="000000"/>
          <w:sz w:val="22"/>
        </w:rPr>
        <w:t>A proposta precisa apresentar com precisão o problema, o objetivo, o recorte e a direção metodológica do trabalho. Ao mesmo tempo, não deve fixar prematuramente cada tecnologia, framework ou decisão de implementação que ainda será investigada. O objetivo é evitar que o trabalho final pareça uma proposta diferente daquela validada pela banca.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Formulação recomendada: </w:t>
      </w:r>
      <w:r>
        <w:rPr>
          <w:rFonts w:ascii="Arial" w:hAnsi="Arial" w:cs="Arial"/>
          <w:color w:val="000000"/>
          <w:sz w:val="22"/>
        </w:rPr>
        <w:t>Indicar as tecnologias ou classes de recursos pretendidos como direção de pesquisa, quando a escolha final ainda depender de avaliação.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Elemento que não deve mudar sem reavaliação: </w:t>
      </w:r>
      <w:r>
        <w:rPr>
          <w:rFonts w:ascii="Arial" w:hAnsi="Arial" w:cs="Arial"/>
          <w:color w:val="000000"/>
          <w:sz w:val="22"/>
        </w:rPr>
        <w:t>Manter estáveis o tema, a pergunta central, o problema e os critérios que justificam o projeto.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Equilíbrio esperado: </w:t>
      </w:r>
      <w:r>
        <w:rPr>
          <w:rFonts w:ascii="Arial" w:hAnsi="Arial" w:cs="Arial"/>
          <w:color w:val="000000"/>
          <w:sz w:val="22"/>
        </w:rPr>
        <w:t>Evitar um escopo excessivamente fechado que impeça ajustes legítimos durante a execução, mas também evitar descrições vagas ou ambíguas.</w:t>
      </w:r>
    </w:p>
    <w:p>
      <w:pPr>
        <w:pStyle w:val="Heading2"/>
      </w:pPr>
      <w:r>
        <w:t>Usar o 5W2H como teste de coerência</w:t>
      </w:r>
    </w:p>
    <w:p>
      <w:pPr/>
      <w:r>
        <w:rPr>
          <w:rFonts w:ascii="Arial" w:hAnsi="Arial" w:cs="Arial"/>
          <w:i w:val="0"/>
          <w:color w:val="000000"/>
          <w:sz w:val="22"/>
        </w:rPr>
        <w:t>Foi sugerido usar o 5W2H como exercício interno para organizar as hipóteses e conferir se a proposta responde ao que será feito, por que é relevante, para quem ou em que contexto, onde se aplica, como será conduzida, em que horizonte e com quais recursos ou restrições. O exercício serve como fio condutor para reduzir lacunas antes da submissão.</w:t>
      </w:r>
    </w:p>
    <w:p>
      <w:pPr>
        <w:pStyle w:val="Heading2"/>
      </w:pPr>
      <w:r>
        <w:t>Escrita concisa, formal e revisada</w:t>
      </w:r>
    </w:p>
    <w:p>
      <w:pPr/>
      <w:r>
        <w:rPr>
          <w:rFonts w:ascii="Arial" w:hAnsi="Arial" w:cs="Arial"/>
          <w:i w:val="0"/>
          <w:color w:val="000000"/>
          <w:sz w:val="22"/>
        </w:rPr>
        <w:t>A versão de proposta deve ser reduzida e direta, pois esta etapa não exige antecipar toda a execução do TCC. A IA pode ser usada para localizar redundâncias, condensar ideias e tornar o texto mais objetivo, desde que cada estudante revise o resultado e confirme que ele mantém o sentido, as escolhas e a autoria intelectual do projeto.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Cortar repetições, termos genéricos e estruturas padronizadas que não acrescentem conteúdo.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Ler a versão revisada integralmente, verificando se o texto continua fiel às ideias do autor.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Buscar precisão e ausência de ambiguidade, especialmente em objetivos, escopo, metodologia e critérios de validação.</w:t>
      </w:r>
    </w:p>
    <w:p>
      <w:pPr>
        <w:pStyle w:val="Heading1"/>
      </w:pPr>
      <w:r>
        <w:t>4. Referências, citações e justificativa</w:t>
      </w:r>
    </w:p>
    <w:p>
      <w:pPr/>
      <w:r>
        <w:rPr>
          <w:rFonts w:ascii="Arial" w:hAnsi="Arial" w:cs="Arial"/>
          <w:i w:val="0"/>
          <w:color w:val="000000"/>
          <w:sz w:val="22"/>
        </w:rPr>
        <w:t>A reunião diferenciou o papel da introdução e da justificativa: a introdução situa o tema e mostra que há contexto, pesquisas ou soluções relacionadas; a justificativa explica a lacuna, a diferença de abordagem ou a razão para o recorte escolhido. O trabalho não precisa provar que nada semelhante existe, mas deve mostrar claramente qual contribuição ou variação será realizada.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Localização das citações: </w:t>
      </w:r>
      <w:r>
        <w:rPr>
          <w:rFonts w:ascii="Arial" w:hAnsi="Arial" w:cs="Arial"/>
          <w:color w:val="000000"/>
          <w:sz w:val="22"/>
        </w:rPr>
        <w:t>Concentrar as referências, sobretudo, na introdução e na justificativa. Resumo e objetivos normalmente não exigem citações.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Metodologia: </w:t>
      </w:r>
      <w:r>
        <w:rPr>
          <w:rFonts w:ascii="Arial" w:hAnsi="Arial" w:cs="Arial"/>
          <w:color w:val="000000"/>
          <w:sz w:val="22"/>
        </w:rPr>
        <w:t>Citar metodologias quando seus passos ou modelos forem efetivamente adotados como base do trabalho.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Consistência: </w:t>
      </w:r>
      <w:r>
        <w:rPr>
          <w:rFonts w:ascii="Arial" w:hAnsi="Arial" w:cs="Arial"/>
          <w:color w:val="000000"/>
          <w:sz w:val="22"/>
        </w:rPr>
        <w:t>Manter correspondência integral: toda fonte citada no texto deve aparecer na lista final; toda fonte da lista final deve estar citada no texto.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Qualidade da fonte: </w:t>
      </w:r>
      <w:r>
        <w:rPr>
          <w:rFonts w:ascii="Arial" w:hAnsi="Arial" w:cs="Arial"/>
          <w:color w:val="000000"/>
          <w:sz w:val="22"/>
        </w:rPr>
        <w:t>Priorizar trabalhos científicos, livros, repositórios institucionais e documentação oficial. O Google Scholar foi indicado como apoio para encontrar fontes relevantes e rastrear sua circulação acadêmica.</w:t>
      </w:r>
    </w:p>
    <w:p>
      <w:pPr>
        <w:pStyle w:val="ListBullet"/>
      </w:pPr>
      <w:r>
        <w:rPr>
          <w:rFonts w:ascii="Arial" w:hAnsi="Arial" w:cs="Arial"/>
          <w:b/>
          <w:color w:val="000000"/>
          <w:sz w:val="22"/>
        </w:rPr>
        <w:t xml:space="preserve">Fontes online: </w:t>
      </w:r>
      <w:r>
        <w:rPr>
          <w:rFonts w:ascii="Arial" w:hAnsi="Arial" w:cs="Arial"/>
          <w:color w:val="000000"/>
          <w:sz w:val="22"/>
        </w:rPr>
        <w:t>Quando for inevitável usar páginas da web ou repositórios, aplicar o padrão de referência correspondente, incluindo endereço e data de acesso quando exigidos.</w:t>
      </w:r>
    </w:p>
    <w:p>
      <w:pPr>
        <w:pStyle w:val="Heading1"/>
      </w:pPr>
      <w:r>
        <w:t>5. Base de engenharia de software após a proposta</w:t>
      </w:r>
    </w:p>
    <w:p>
      <w:pPr/>
      <w:r>
        <w:rPr>
          <w:rFonts w:ascii="Arial" w:hAnsi="Arial" w:cs="Arial"/>
          <w:i w:val="0"/>
          <w:color w:val="000000"/>
          <w:sz w:val="22"/>
        </w:rPr>
        <w:t>A documentação detalhada de engenharia deve começar após a consolidação da proposta. Ela não substitui a proposta nem precisa, necessariamente, ser entregue como corpo principal do TCC, mas pode ser mencionada e, quando pertinente, apresentada como apêndice ou evidência metodológica.</w:t>
      </w:r>
    </w:p>
    <w:p>
      <w:pPr>
        <w:pStyle w:val="Heading2"/>
      </w:pPr>
      <w:r>
        <w:t>Conteúdo mínimo da base inicial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Análise de requisitos funcionais e não funcionais.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Principais histórias de usuário e fluxos esperados do sistema.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Descrição da arquitetura e das tecnologias ou versões inicialmente consideradas.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Ao menos uma representação arquitetural ou de processo; o C4 Model foi citado como possibilidade, com diagramas de interação ou sequência quando ajudarem a explicar os serviços.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Roadmap de desenvolvimento, dividido em fases ou incrementos verificáveis.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Um documento de produto ou de requisitos, como PRD, quando ele for útil ao projeto e estiver alinhado ao conteúdo da disciplina.</w:t>
      </w:r>
    </w:p>
    <w:p>
      <w:pPr>
        <w:pStyle w:val="Heading2"/>
      </w:pPr>
      <w:r>
        <w:t>Entrevista de levantamento com apoio de IA</w:t>
      </w:r>
    </w:p>
    <w:p>
      <w:pPr/>
      <w:r>
        <w:rPr>
          <w:rFonts w:ascii="Arial" w:hAnsi="Arial" w:cs="Arial"/>
          <w:i w:val="0"/>
          <w:color w:val="000000"/>
          <w:sz w:val="22"/>
        </w:rPr>
        <w:t>A proposta e os materiais de engenharia podem ser fornecidos a uma IA para que ela identifique definições ausentes e faça perguntas de levantamento. Os estudantes devem responder e validar as lacunas de forma consciente. Quando não compreenderem uma pergunta técnica, podem solicitar opções, com prós e contras, antes de tomar a decisão; a decisão final continua sendo humana.</w:t>
      </w:r>
    </w:p>
    <w:p>
      <w:pPr>
        <w:pStyle w:val="Heading2"/>
      </w:pPr>
      <w:r>
        <w:t>Repositório, Markdown e linha de base</w:t>
      </w:r>
    </w:p>
    <w:p>
      <w:pPr/>
      <w:r>
        <w:rPr>
          <w:rFonts w:ascii="Arial" w:hAnsi="Arial" w:cs="Arial"/>
          <w:i w:val="0"/>
          <w:color w:val="000000"/>
          <w:sz w:val="22"/>
        </w:rPr>
        <w:t>A recomendação é iniciar um repositório no GitHub, criar uma pasta de documentação e preservar os materiais de origem. Depois, produzir uma versão estruturada em Markdown para facilitar a recuperação de contexto pelas ferramentas de IA. Essa versão inicial deve ser mantida como linha de base e versionada antes de cada mudança relevante.</w:t>
      </w:r>
    </w:p>
    <w:p>
      <w:pPr>
        <w:pStyle w:val="Heading1"/>
      </w:pPr>
      <w:r>
        <w:t>6. Desenvolvimento assistido por IA</w:t>
      </w:r>
    </w:p>
    <w:p>
      <w:pPr>
        <w:pStyle w:val="Heading2"/>
      </w:pPr>
      <w:r>
        <w:t>Escolha de método e ambiente</w:t>
      </w:r>
    </w:p>
    <w:p>
      <w:pPr/>
      <w:r>
        <w:rPr>
          <w:rFonts w:ascii="Arial" w:hAnsi="Arial" w:cs="Arial"/>
          <w:i w:val="0"/>
          <w:color w:val="000000"/>
          <w:sz w:val="22"/>
        </w:rPr>
        <w:t>Foram apresentados o Spec Kit e o BMad Method como alternativas para organizar o trabalho em especificações e ciclos de desenvolvimento. A turma deve escolher a abordagem que consegue compreender e operar com mais controle. Não é necessário combinar várias plataformas, vários modelos ou uma orquestração de agentes sofisticada para que o projeto seja válido.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Escolher um ambiente principal de desenvolvimento e documentar a configuração adotada.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Usar modelos ou modos mais robustos para planejamento, documentação e revisão somente quando isso fizer sentido para a ferramenta escolhida.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Tratar subagentes, múltiplos modelos e automações mais elaboradas como opções avançadas, não como requisito do TCC.</w:t>
      </w:r>
    </w:p>
    <w:p>
      <w:pPr>
        <w:pStyle w:val="Heading2"/>
      </w:pPr>
      <w:r>
        <w:t>Memória e governança do projeto</w:t>
      </w:r>
    </w:p>
    <w:p>
      <w:pPr/>
      <w:r>
        <w:rPr>
          <w:rFonts w:ascii="Arial" w:hAnsi="Arial" w:cs="Arial"/>
          <w:i w:val="0"/>
          <w:color w:val="000000"/>
          <w:sz w:val="22"/>
        </w:rPr>
        <w:t>A documentação deve assumir o papel de memória do projeto, em vez de depender de conversas longas com a IA. A estrutura pode conter um arquivo de instruções compatível com a ferramenta escolhida, o estado atual, handoff entre sessões, bloqueios, documentação versionada e os artefatos de cada especificação. Arquivos de instrução devem permanecer curtos e úteis, sem concentrar todo o histórico ou regras que poderiam estar nos documentos próprios.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Ao encerrar uma sessão produtiva, pedir uma revisão do que foi aprendido e registrar apenas aquilo que deve orientar ciclos futuros.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Transformar um processo repetitivo em skill somente depois de entendê-lo, revisar sua ordem e adaptá-lo ao projeto; uma skill é, essencialmente, uma instrução reutilizável em Markdown.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Registrar bloqueios que dependam de decisão humana, testes manuais ou correções que a IA não possa validar sozinha.</w:t>
      </w:r>
    </w:p>
    <w:p>
      <w:pPr>
        <w:pStyle w:val="Heading2"/>
      </w:pPr>
      <w:r>
        <w:t>Ciclo mínimo sugerido</w:t>
      </w:r>
    </w:p>
    <w:p>
      <w:pPr>
        <w:pStyle w:val="ListNumber"/>
      </w:pPr>
      <w:r>
        <w:rPr>
          <w:rFonts w:ascii="Arial" w:hAnsi="Arial" w:cs="Arial"/>
          <w:b/>
          <w:color w:val="000000"/>
          <w:sz w:val="22"/>
        </w:rPr>
        <w:t xml:space="preserve">Selecionar o incremento: </w:t>
      </w:r>
      <w:r>
        <w:rPr>
          <w:rFonts w:ascii="Arial" w:hAnsi="Arial" w:cs="Arial"/>
          <w:color w:val="000000"/>
          <w:sz w:val="22"/>
        </w:rPr>
        <w:t>selecionar a próxima fase pequena do roadmap e definir o incremento a ser desenvolvido.</w:t>
      </w:r>
    </w:p>
    <w:p>
      <w:pPr>
        <w:pStyle w:val="ListNumber"/>
      </w:pPr>
      <w:r>
        <w:rPr>
          <w:rFonts w:ascii="Arial" w:hAnsi="Arial" w:cs="Arial"/>
          <w:b/>
          <w:color w:val="000000"/>
          <w:sz w:val="22"/>
        </w:rPr>
        <w:t xml:space="preserve">Especificar: </w:t>
      </w:r>
      <w:r>
        <w:rPr>
          <w:rFonts w:ascii="Arial" w:hAnsi="Arial" w:cs="Arial"/>
          <w:color w:val="000000"/>
          <w:sz w:val="22"/>
        </w:rPr>
        <w:t>criar ou atualizar a especificação a partir dos requisitos e das histórias de usuário.</w:t>
      </w:r>
    </w:p>
    <w:p>
      <w:pPr>
        <w:pStyle w:val="ListNumber"/>
      </w:pPr>
      <w:r>
        <w:rPr>
          <w:rFonts w:ascii="Arial" w:hAnsi="Arial" w:cs="Arial"/>
          <w:b/>
          <w:color w:val="000000"/>
          <w:sz w:val="22"/>
        </w:rPr>
        <w:t xml:space="preserve">Clarificar: </w:t>
      </w:r>
      <w:r>
        <w:rPr>
          <w:rFonts w:ascii="Arial" w:hAnsi="Arial" w:cs="Arial"/>
          <w:color w:val="000000"/>
          <w:sz w:val="22"/>
        </w:rPr>
        <w:t>executar uma etapa de esclarecimento das ambiguidades, conflitos de versão ou decisões ainda abertas antes de implementar.</w:t>
      </w:r>
    </w:p>
    <w:p>
      <w:pPr>
        <w:pStyle w:val="ListNumber"/>
      </w:pPr>
      <w:r>
        <w:rPr>
          <w:rFonts w:ascii="Arial" w:hAnsi="Arial" w:cs="Arial"/>
          <w:b/>
          <w:color w:val="000000"/>
          <w:sz w:val="22"/>
        </w:rPr>
        <w:t xml:space="preserve">Planejar e analisar: </w:t>
      </w:r>
      <w:r>
        <w:rPr>
          <w:rFonts w:ascii="Arial" w:hAnsi="Arial" w:cs="Arial"/>
          <w:color w:val="000000"/>
          <w:sz w:val="22"/>
        </w:rPr>
        <w:t>planejar o trabalho, decompor em tarefas, conferir a cobertura das histórias de usuário e estabelecer critérios de aceitação.</w:t>
      </w:r>
    </w:p>
    <w:p>
      <w:pPr>
        <w:pStyle w:val="ListNumber"/>
      </w:pPr>
      <w:r>
        <w:rPr>
          <w:rFonts w:ascii="Arial" w:hAnsi="Arial" w:cs="Arial"/>
          <w:b/>
          <w:color w:val="000000"/>
          <w:sz w:val="22"/>
        </w:rPr>
        <w:t xml:space="preserve">Implementar e testar: </w:t>
      </w:r>
      <w:r>
        <w:rPr>
          <w:rFonts w:ascii="Arial" w:hAnsi="Arial" w:cs="Arial"/>
          <w:color w:val="000000"/>
          <w:sz w:val="22"/>
        </w:rPr>
        <w:t>desenvolver a funcionalidade em uma branch ou unidade de trabalho, executar os testes adequados e revisar o resultado.</w:t>
      </w:r>
    </w:p>
    <w:p>
      <w:pPr>
        <w:pStyle w:val="ListNumber"/>
      </w:pPr>
      <w:r>
        <w:rPr>
          <w:rFonts w:ascii="Arial" w:hAnsi="Arial" w:cs="Arial"/>
          <w:b/>
          <w:color w:val="000000"/>
          <w:sz w:val="22"/>
        </w:rPr>
        <w:t xml:space="preserve">Fechar o ciclo: </w:t>
      </w:r>
      <w:r>
        <w:rPr>
          <w:rFonts w:ascii="Arial" w:hAnsi="Arial" w:cs="Arial"/>
          <w:color w:val="000000"/>
          <w:sz w:val="22"/>
        </w:rPr>
        <w:t>atualizar a documentação, registrar decisões, estado, bloqueios e handoff, guardar a versão anterior e então selecionar o próximo incremento.</w:t>
      </w:r>
    </w:p>
    <w:p>
      <w:pPr>
        <w:spacing w:after="200"/>
      </w:pPr>
      <w:r>
        <w:rPr>
          <w:rFonts w:ascii="Arial" w:hAnsi="Arial" w:cs="Arial"/>
          <w:i w:val="0"/>
          <w:color w:val="000000"/>
          <w:sz w:val="22"/>
        </w:rPr>
        <w:t>A orientação foi começar com porções pequenas de escopo. Isso facilita a aprendizagem do método, reduz o custo de corrigir erros e torna mais clara a relação entre requisito, tarefa, código, teste e evidência. Caso a estrutura inicial se mostre inadequada, a equipe pode reiniciar ou reorganizar o repositório de forma controlada, preservando o aprendizado obtido.</w:t>
      </w:r>
    </w:p>
    <w:p>
      <w:pPr>
        <w:pStyle w:val="Heading1"/>
      </w:pPr>
      <w:r>
        <w:t>7. Auditoria, validação humana e defesa</w:t>
      </w:r>
    </w:p>
    <w:p>
      <w:pPr/>
      <w:r>
        <w:rPr>
          <w:rFonts w:ascii="Arial" w:hAnsi="Arial" w:cs="Arial"/>
          <w:i w:val="0"/>
          <w:color w:val="000000"/>
          <w:sz w:val="22"/>
        </w:rPr>
        <w:t>A rastreabilidade é parte central da orientação. A documentação inicial, suas versões, o histórico do Git, as especificações, as tarefas, os testes, as decisões e os registros de bloqueio devem tornar visível o que foi solicitado à IA, o que mudou e onde houve aprovação ou intervenção humana.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Não aceitar automaticamente artefatos gerados: cada estudante precisa compreender o que será apresentado e defendido.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Revisar código, testes, pastas e documentos gerados em quantidade excessiva ou com comportamento pouco compreensível; pedir documentação explicativa quando necessário.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Evitar especificações mal definidas, pois elas podem ampliar erros, gerar código ou testes sem valor e produzir acúmulo de artefatos inadequados.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Ao final, gerar uma documentação atualizada no mesmo padrão da base inicial e compará-la com a primeira versão para explicar os ajustes ocorridos ao longo do projeto.</w:t>
      </w:r>
    </w:p>
    <w:p>
      <w:pPr>
        <w:pStyle w:val="Heading1"/>
      </w:pPr>
      <w:r>
        <w:t>8. Uso do material de apoio</w:t>
      </w:r>
    </w:p>
    <w:p>
      <w:pPr/>
      <w:r>
        <w:rPr>
          <w:rFonts w:ascii="Arial" w:hAnsi="Arial" w:cs="Arial"/>
          <w:i w:val="0"/>
          <w:color w:val="000000"/>
          <w:sz w:val="22"/>
        </w:rPr>
        <w:t>O guia e os exemplos de estrutura compartilhados na reunião devem ser usados como referência de aprendizagem e adaptados ao contexto de cada TCC. Foi reforçado que esse material não deve ser redistribuído a terceiros sem autorização. Skills ou orientações reaproveitadas de outro projeto devem ser tratadas como inspiração e reescritas para evitar instruções, nomes ou decisões que não pertençam ao novo repositório.</w:t>
      </w:r>
    </w:p>
    <w:p>
      <w:pPr>
        <w:pStyle w:val="Heading1"/>
      </w:pPr>
      <w:r>
        <w:t>9. Roteiro de retomada e continuidade</w:t>
      </w:r>
    </w:p>
    <w:p>
      <w:pPr>
        <w:pStyle w:val="Heading2"/>
      </w:pPr>
      <w:r>
        <w:t>Ponto exato de retomada</w:t>
      </w:r>
    </w:p>
    <w:p>
      <w:pPr/>
      <w:r>
        <w:rPr>
          <w:rFonts w:ascii="Arial" w:hAnsi="Arial" w:cs="Arial"/>
          <w:i w:val="0"/>
          <w:color w:val="000000"/>
          <w:sz w:val="22"/>
        </w:rPr>
        <w:t>A prioridade imediata é a versão concisa e formal da proposta. Depois de enviada ou aprovada, o próximo ponto de retomada é a criação da documentação-base de engenharia, antes de iniciar a implementação do sistema.</w:t>
      </w:r>
    </w:p>
    <w:p>
      <w:pPr>
        <w:pStyle w:val="Heading2"/>
      </w:pPr>
      <w:r>
        <w:t>Sequência orientada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Revisar proposta, escopo, objetivos, justificativa, método inicial e referências.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Confirmar que as citações e a lista de referências estão consistentes e que não há referências soltas.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Escolher a combinação de documentos de engenharia e criar a linha de base do projeto.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Versionar os documentos e organizar o repositório com uma pasta específica para documentação em Markdown.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Criar o roadmap, escolher Spec Kit ou BMad Method e configurar a governança mínima da ferramenta escolhida.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Executar a primeira especificação em escala reduzida, validar, registrar o fechamento e avançar somente após revisão.</w:t>
      </w:r>
    </w:p>
    <w:p>
      <w:pPr>
        <w:pStyle w:val="Heading2"/>
      </w:pPr>
      <w:r>
        <w:t>Evidências a preservar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Versões da proposta, fontes utilizadas e critérios de alteração do escopo.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Requisitos, histórias de usuário, diagramas, arquitetura, roadmap e documentação-base em Markdown.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Histórico de versões, branches, especificações, tarefas, resultados de testes, decisões, bloqueios e handoffs.</w:t>
      </w:r>
    </w:p>
    <w:p>
      <w:pPr>
        <w:pStyle w:val="ListBullet"/>
      </w:pPr>
      <w:r>
        <w:rPr>
          <w:rFonts w:ascii="Arial" w:hAnsi="Arial" w:cs="Arial"/>
          <w:color w:val="000000"/>
          <w:sz w:val="22"/>
        </w:rPr>
        <w:t>Registros das instruções ou interações que forem relevantes para explicar uma escolha metodológica ou técnica no TCC.</w:t>
      </w:r>
    </w:p>
    <w:p>
      <w:pPr>
        <w:pStyle w:val="Heading2"/>
      </w:pPr>
      <w:r>
        <w:t>Critério para avançar</w:t>
      </w:r>
    </w:p>
    <w:p>
      <w:pPr/>
      <w:r>
        <w:rPr>
          <w:rFonts w:ascii="Arial" w:hAnsi="Arial" w:cs="Arial"/>
          <w:i w:val="0"/>
          <w:color w:val="000000"/>
          <w:sz w:val="22"/>
        </w:rPr>
        <w:t>O próximo incremento só deve começar quando a fase anterior estiver compreendida, testada, documentada e sem bloqueio pendente que altere o requisito ou a arquitetura. Em caso de dúvida, a decisão deve ser registrada e validada antes de ampliar o escopo.</w:t>
      </w:r>
    </w:p>
    <w:p>
      <w:pPr>
        <w:pStyle w:val="Heading1"/>
      </w:pPr>
      <w:r>
        <w:t>10. Plano de ação consolidado</w:t>
      </w:r>
    </w:p>
    <w:p>
      <w:pPr/>
      <w:r>
        <w:rPr>
          <w:rFonts w:ascii="Arial" w:hAnsi="Arial" w:cs="Arial"/>
          <w:b/>
          <w:color w:val="000000"/>
          <w:sz w:val="22"/>
        </w:rPr>
        <w:t xml:space="preserve">Proposta: </w:t>
      </w:r>
      <w:r>
        <w:rPr>
          <w:rFonts w:ascii="Arial" w:hAnsi="Arial" w:cs="Arial"/>
          <w:i w:val="0"/>
          <w:color w:val="000000"/>
          <w:sz w:val="22"/>
        </w:rPr>
        <w:t>Entregar a proposta revisada no prazo orientado no encontro, com data formal a confirmar no cronograma ou com a coordenação.</w:t>
      </w:r>
    </w:p>
    <w:p>
      <w:pPr/>
      <w:r>
        <w:rPr>
          <w:rFonts w:ascii="Arial" w:hAnsi="Arial" w:cs="Arial"/>
          <w:b/>
          <w:color w:val="000000"/>
          <w:sz w:val="22"/>
        </w:rPr>
        <w:t xml:space="preserve">Revisão acadêmica: </w:t>
      </w:r>
      <w:r>
        <w:rPr>
          <w:rFonts w:ascii="Arial" w:hAnsi="Arial" w:cs="Arial"/>
          <w:i w:val="0"/>
          <w:color w:val="000000"/>
          <w:sz w:val="22"/>
        </w:rPr>
        <w:t>Revisar escrita, escopo, 5W2H, citações e referências antes da submissão.</w:t>
      </w:r>
    </w:p>
    <w:p>
      <w:pPr/>
      <w:r>
        <w:rPr>
          <w:rFonts w:ascii="Arial" w:hAnsi="Arial" w:cs="Arial"/>
          <w:b/>
          <w:color w:val="000000"/>
          <w:sz w:val="22"/>
        </w:rPr>
        <w:t xml:space="preserve">Linha de base: </w:t>
      </w:r>
      <w:r>
        <w:rPr>
          <w:rFonts w:ascii="Arial" w:hAnsi="Arial" w:cs="Arial"/>
          <w:i w:val="0"/>
          <w:color w:val="000000"/>
          <w:sz w:val="22"/>
        </w:rPr>
        <w:t>Após a proposta, definir os documentos de engenharia que serão adotados e completar a primeira versão com decisão humana sobre os pontos abertos.</w:t>
      </w:r>
    </w:p>
    <w:p>
      <w:pPr/>
      <w:r>
        <w:rPr>
          <w:rFonts w:ascii="Arial" w:hAnsi="Arial" w:cs="Arial"/>
          <w:b/>
          <w:color w:val="000000"/>
          <w:sz w:val="22"/>
        </w:rPr>
        <w:t xml:space="preserve">Repositório: </w:t>
      </w:r>
      <w:r>
        <w:rPr>
          <w:rFonts w:ascii="Arial" w:hAnsi="Arial" w:cs="Arial"/>
          <w:i w:val="0"/>
          <w:color w:val="000000"/>
          <w:sz w:val="22"/>
        </w:rPr>
        <w:t>Criar e organizar o repositório, converter a documentação necessária para Markdown e manter as versões preservadas.</w:t>
      </w:r>
    </w:p>
    <w:p>
      <w:pPr/>
      <w:r>
        <w:rPr>
          <w:rFonts w:ascii="Arial" w:hAnsi="Arial" w:cs="Arial"/>
          <w:b/>
          <w:color w:val="000000"/>
          <w:sz w:val="22"/>
        </w:rPr>
        <w:t xml:space="preserve">Primeiro ciclo: </w:t>
      </w:r>
      <w:r>
        <w:rPr>
          <w:rFonts w:ascii="Arial" w:hAnsi="Arial" w:cs="Arial"/>
          <w:i w:val="0"/>
          <w:color w:val="000000"/>
          <w:sz w:val="22"/>
        </w:rPr>
        <w:t>Escolher uma metodologia principal de desenvolvimento assistido por IA, iniciar uma fase pequena e registrar testes, decisões e pendências ao fechá-la.</w:t>
      </w:r>
    </w:p>
    <w:p>
      <w:pPr/>
      <w:r>
        <w:rPr>
          <w:rFonts w:ascii="Arial" w:hAnsi="Arial" w:cs="Arial"/>
          <w:b/>
          <w:color w:val="000000"/>
          <w:sz w:val="22"/>
        </w:rPr>
        <w:t xml:space="preserve">Próxima orientação: </w:t>
      </w:r>
      <w:r>
        <w:rPr>
          <w:rFonts w:ascii="Arial" w:hAnsi="Arial" w:cs="Arial"/>
          <w:i w:val="0"/>
          <w:color w:val="000000"/>
          <w:sz w:val="22"/>
        </w:rPr>
        <w:t>Levar ao próximo acompanhamento a proposta revisada, a documentação-base criada e as dúvidas que bloqueiem decisões de requisito, arquitetura ou método.</w:t>
      </w:r>
    </w:p>
    <w:p>
      <w:pPr>
        <w:pStyle w:val="Heading1"/>
      </w:pPr>
      <w:r>
        <w:t>11. Síntese final</w:t>
      </w:r>
    </w:p>
    <w:p>
      <w:pPr/>
      <w:r>
        <w:rPr>
          <w:rFonts w:ascii="Arial" w:hAnsi="Arial" w:cs="Arial"/>
          <w:i w:val="0"/>
          <w:color w:val="000000"/>
          <w:sz w:val="22"/>
        </w:rPr>
        <w:t>A segunda orientação posicionou a proposta como um compromisso acadêmico claro, porém flexível o bastante para acomodar a pesquisa e a evolução técnica do TCC. Para o desenvolvimento, a orientação foi substituir improvisação e dependência de conversas longas por documentação, ciclos pequenos, testes, versionamento e validação humana. Dessa forma, cada projeto poderá demonstrar não apenas o resultado final, mas também como chegou a ele.</w:t>
      </w:r>
    </w:p>
    <w:sectPr w:rsidR="00FC693F" w:rsidRPr="0006063C" w:rsidSect="00034616">
      <w:headerReference w:type="default" r:id="rId41"/>
      <w:footerReference w:type="default" r:id="rId42"/>
      <w:pgSz w:w="11906" w:h="16838"/>
      <w:pgMar w:top="1361" w:right="1361" w:bottom="1247" w:left="136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 w:before="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 w:before="0"/>
      <w:ind w:left="539" w:hanging="272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holar.google.com/" TargetMode="External"/><Relationship Id="rId10" Type="http://schemas.openxmlformats.org/officeDocument/2006/relationships/hyperlink" Target="https://ieeexplore.ieee.org/" TargetMode="External"/><Relationship Id="rId11" Type="http://schemas.openxmlformats.org/officeDocument/2006/relationships/hyperlink" Target="https://dl.acm.org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www.periodicos.capes.gov.br/" TargetMode="External"/><Relationship Id="rId14" Type="http://schemas.openxmlformats.org/officeDocument/2006/relationships/hyperlink" Target="https://gemini.google/overview/deep-research/" TargetMode="External"/><Relationship Id="rId15" Type="http://schemas.openxmlformats.org/officeDocument/2006/relationships/hyperlink" Target="https://notebooklm.google/" TargetMode="External"/><Relationship Id="rId16" Type="http://schemas.openxmlformats.org/officeDocument/2006/relationships/hyperlink" Target="https://developers.openai.com/api/docs/guides/deep-research" TargetMode="External"/><Relationship Id="rId17" Type="http://schemas.openxmlformats.org/officeDocument/2006/relationships/hyperlink" Target="https://github.com/github/spec-kit" TargetMode="External"/><Relationship Id="rId18" Type="http://schemas.openxmlformats.org/officeDocument/2006/relationships/hyperlink" Target="https://github.com/bmad-code-org/BMAD-METHOD" TargetMode="External"/><Relationship Id="rId19" Type="http://schemas.openxmlformats.org/officeDocument/2006/relationships/hyperlink" Target="https://www.skills.sh/" TargetMode="External"/><Relationship Id="rId20" Type="http://schemas.openxmlformats.org/officeDocument/2006/relationships/hyperlink" Target="https://docs.n8n.io/" TargetMode="External"/><Relationship Id="rId21" Type="http://schemas.openxmlformats.org/officeDocument/2006/relationships/hyperlink" Target="https://docs.docker.com/" TargetMode="External"/><Relationship Id="rId22" Type="http://schemas.openxmlformats.org/officeDocument/2006/relationships/hyperlink" Target="https://genai.owasp.org/llm-top-10/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sebrae.com.br/" TargetMode="External"/><Relationship Id="rId25" Type="http://schemas.openxmlformats.org/officeDocument/2006/relationships/hyperlink" Target="https://datasebrae.com.br/" TargetMode="External"/><Relationship Id="rId26" Type="http://schemas.openxmlformats.org/officeDocument/2006/relationships/hyperlink" Target="https://sidra.ibge.gov.br/" TargetMode="External"/><Relationship Id="rId27" Type="http://schemas.openxmlformats.org/officeDocument/2006/relationships/hyperlink" Target="https://genai.owasp.org/resource/owasp-genai-llm-top-10-2026/" TargetMode="External"/><Relationship Id="rId28" Type="http://schemas.openxmlformats.org/officeDocument/2006/relationships/hyperlink" Target="https://www.nist.gov/publications/artificial-intelligence-risk-management-framework-generative-artificial-intelligence" TargetMode="External"/><Relationship Id="rId29" Type="http://schemas.openxmlformats.org/officeDocument/2006/relationships/hyperlink" Target="https://docs.nvidia.com/nemo/guardrails/home" TargetMode="External"/><Relationship Id="rId30" Type="http://schemas.openxmlformats.org/officeDocument/2006/relationships/hyperlink" Target="https://guardrailsai.com/" TargetMode="External"/><Relationship Id="rId31" Type="http://schemas.openxmlformats.org/officeDocument/2006/relationships/hyperlink" Target="https://www.iso.org/standard/63500.html" TargetMode="External"/><Relationship Id="rId32" Type="http://schemas.openxmlformats.org/officeDocument/2006/relationships/hyperlink" Target="https://www.iso.org/standard/77520.html" TargetMode="External"/><Relationship Id="rId33" Type="http://schemas.openxmlformats.org/officeDocument/2006/relationships/hyperlink" Target="https://www.w3.org/TR/WCAG22/" TargetMode="External"/><Relationship Id="rId34" Type="http://schemas.openxmlformats.org/officeDocument/2006/relationships/hyperlink" Target="https://www.wiley.com/en-us/Interaction%2BDesign%3A%2BBeyond%2BHuman-Computer%2BInteraction%2C%2B6th%2BEdition-p-9781119901099" TargetMode="External"/><Relationship Id="rId35" Type="http://schemas.openxmlformats.org/officeDocument/2006/relationships/hyperlink" Target="https://shop.elsevier.com/books/the-ux-book/hartson/978-0-443-13443-2" TargetMode="External"/><Relationship Id="rId36" Type="http://schemas.openxmlformats.org/officeDocument/2006/relationships/hyperlink" Target="https://www.educate.elsevier.com/book/details/9780128169421" TargetMode="External"/><Relationship Id="rId37" Type="http://schemas.openxmlformats.org/officeDocument/2006/relationships/hyperlink" Target="https://v0.dev/docs" TargetMode="External"/><Relationship Id="rId38" Type="http://schemas.openxmlformats.org/officeDocument/2006/relationships/hyperlink" Target="https://docs.lovable.dev/introduction/welcome" TargetMode="External"/><Relationship Id="rId39" Type="http://schemas.openxmlformats.org/officeDocument/2006/relationships/hyperlink" Target="https://istqb.org/wp-content/uploads/2024/11/ISTQB_CTFL_Syllabus_v4.0.1.pdf" TargetMode="External"/><Relationship Id="rId40" Type="http://schemas.openxmlformats.org/officeDocument/2006/relationships/hyperlink" Target="https://www.computer.org/education/bodies-of-knowledge/software-engineering/v4" TargetMode="External"/><Relationship Id="rId41" Type="http://schemas.openxmlformats.org/officeDocument/2006/relationships/header" Target="header1.xml"/><Relationship Id="rId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Segunda Orientação Coletiva de TCCs</dc:title>
  <dc:subject>Proposta, documentação de engenharia e desenvolvimento assistido por IA</dc:subject>
  <dc:creator>Muriel Mazzetto</dc:creator>
  <cp:keywords/>
  <dc:description>Síntese elaborada a partir da transcrição da segunda orientação coletiva.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