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Минпросвещения России от 04.07.2022 N 518</w:t>
              <w:br/>
              <w:t xml:space="preserve">"Об утверждении федерального государственного образовательного стандарта среднего профессионального образования по специальности 24.02.01 Производство летательных аппаратов"</w:t>
              <w:br/>
              <w:t xml:space="preserve">(Зарегистрировано в Минюсте России 29.07.2022 N 69446)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16.12.2022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29 июля 2022 г. N 69446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МИНИСТЕРСТВО ПРОСВЕЩЕНИЯ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4 июля 2022 г. N 518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</w:t>
      </w:r>
    </w:p>
    <w:p>
      <w:pPr>
        <w:pStyle w:val="2"/>
        <w:jc w:val="center"/>
      </w:pPr>
      <w:r>
        <w:rPr>
          <w:sz w:val="20"/>
        </w:rPr>
        <w:t xml:space="preserve">ФЕДЕРАЛЬНОГО ГОСУДАРСТВЕННОГО ОБРАЗОВАТЕЛЬНОГО СТАНДАРТА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24.02.01 ПРОИЗВОДСТВО ЛЕТАТЕЛЬНЫХ АППАРАТОВ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подпунктом 4.2.30 пункта 4</w:t>
        </w:r>
      </w:hyperlink>
      <w:r>
        <w:rPr>
          <w:sz w:val="20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w:history="0" r:id="rId8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пунктом 27</w:t>
        </w:r>
      </w:hyperlink>
      <w:r>
        <w:rPr>
          <w:sz w:val="20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12 апреля 2019 г. N 434 (Собрание законодательства Российской Федерации, 2019, N 16, ст. 1942),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прилагаемый федеральный государственный образовательный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профессионального образования по специальности 24.02.01 Производство летательных аппаратов (далее - стандарт).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вправе осуществлять в соответствии со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обучение лиц, зачисленных до вступления в силу настоящего приказа, с их согласия;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прием на обучение в соответствии с федеральным государственным образовательным </w:t>
      </w:r>
      <w:hyperlink w:history="0" r:id="rId9" w:tooltip="Приказ Минобрнауки России от 21.04.2014 N 362 (ред. от 13.07.2021) &quot;Об утверждении федерального государственного образовательного стандарта среднего профессионального образования по специальности 24.02.01 Производство летательных аппаратов&quot; (Зарегистрировано в Минюсте России 17.07.2014 N 33128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специальности </w:t>
      </w:r>
      <w:hyperlink w:history="0" r:id="rId10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sz w:val="20"/>
            <w:color w:val="0000ff"/>
          </w:rPr>
          <w:t xml:space="preserve">24.02.01</w:t>
        </w:r>
      </w:hyperlink>
      <w:r>
        <w:rPr>
          <w:sz w:val="20"/>
        </w:rPr>
        <w:t xml:space="preserve"> Производство летательных аппаратов, утвержденным приказом Министерства образования и науки Российской Федерации от 21 апреля 2014 г. N 362 (зарегистрирован Министерством юстиции Российской Федерации 17 июля 2014 г., регистрационный N 33128), с изменениями, внесенными приказом Министерства образования и науки Российской Федерации от 9 апреля 2015 г. N 389 (зарегистрирован Министерством юстиции Российской Федерации 8 мая 2015 г., регистрационный N 37216) и приказом Министерства просвещения Российской Федерации от 13 июля 2021 г. N 450 (зарегистрирован Министерством юстиции Российской Федерации 14 октября 2021 г., регистрационный N 65410), прекращается с 31 декабря 2022 г., а при реализации образовательной организацией образовательной программы по специальности </w:t>
      </w:r>
      <w:hyperlink w:history="0" r:id="rId11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24.02.01</w:t>
        </w:r>
      </w:hyperlink>
      <w:r>
        <w:rPr>
          <w:sz w:val="20"/>
        </w:rPr>
        <w:t xml:space="preserve"> Производство летательных аппаратов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проводимого в соответствии с </w:t>
      </w:r>
      <w:hyperlink w:history="0" r:id="rId12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сионалитет&quot; (вместе с &quot;Положением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 {КонсультантПлюс}">
        <w:r>
          <w:rPr>
            <w:sz w:val="20"/>
            <w:color w:val="0000ff"/>
          </w:rPr>
          <w:t xml:space="preserve">постановлением</w:t>
        </w:r>
      </w:hyperlink>
      <w:r>
        <w:rPr>
          <w:sz w:val="20"/>
        </w:rPr>
        <w:t xml:space="preserve"> Правительства Российской Федерации от 16 марта 2022 г. N 387 (Собрание законодательства Российской Федерации, 2022, N 12, ст. 1871), - с 1 августа 2022 года.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Министр</w:t>
      </w:r>
    </w:p>
    <w:p>
      <w:pPr>
        <w:pStyle w:val="0"/>
        <w:jc w:val="right"/>
      </w:pPr>
      <w:r>
        <w:rPr>
          <w:sz w:val="20"/>
        </w:rPr>
        <w:t xml:space="preserve">С.С.КРАВЦОВ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приказом Министерства просвещения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4 июля 2022 г. N 518</w:t>
      </w:r>
    </w:p>
    <w:p>
      <w:pPr>
        <w:pStyle w:val="0"/>
        <w:jc w:val="both"/>
      </w:pPr>
      <w:r>
        <w:rPr>
          <w:sz w:val="20"/>
        </w:rPr>
      </w:r>
    </w:p>
    <w:bookmarkStart w:id="34" w:name="P34"/>
    <w:bookmarkEnd w:id="34"/>
    <w:p>
      <w:pPr>
        <w:pStyle w:val="2"/>
        <w:jc w:val="center"/>
      </w:pPr>
      <w:r>
        <w:rPr>
          <w:sz w:val="20"/>
        </w:rPr>
        <w:t xml:space="preserve">ФЕДЕРАЛЬНЫЙ ГОСУДАРСТВЕННЫЙ ОБРАЗОВАТЕЛЬНЫЙ СТАНДАРТ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24.02.01 ПРОИЗВОДСТВО ЛЕТАТЕЛЬНЫХ АППАРАТОВ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bookmarkStart w:id="40" w:name="P40"/>
    <w:bookmarkEnd w:id="40"/>
    <w:p>
      <w:pPr>
        <w:pStyle w:val="0"/>
        <w:ind w:firstLine="540"/>
        <w:jc w:val="both"/>
      </w:pPr>
      <w:r>
        <w:rPr>
          <w:sz w:val="20"/>
        </w:rP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24.02.01 Производство летательных аппаратов (далее соответственно - ФГОС СПО, образовательная программа, специальность) в соответствии с квалификацией специалиста среднего звена "техник"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3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Перечень</w:t>
        </w:r>
      </w:hyperlink>
      <w:r>
        <w:rPr>
          <w:sz w:val="20"/>
        </w:rPr>
        <w:t xml:space="preserve"> специальностей среднего профессионального образования, утвержденный приказом Министерства просвещения Российской Федерации от 17 мая 2022 г. N 336 (зарегистрирован Министерством юстиции Российской Федерации 17 июня 2022 г., регистрационный N 68887).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1.2. Получение образования по специальности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Образовательная программа, реализуемая на базе основного общего образования, разрабатывается образовательной организацией на основе требований федерального государственного образовательного стандарта среднего общего образования &lt;2&gt; и ФГОС СПО с учетом получаемой специальности.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Федеральный государственный образовательный </w:t>
      </w:r>
      <w:hyperlink w:history="0" r:id="rId14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общего образования, утвержденный приказом Министерства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Министерством юстиции Российской Федерации 23 декабря 2020 г., регистрационный N 61749) и от 11 декабря 2020 г. N 712 (зарегистрирован Министерством юстиции Российской Федерации 25 декабря 2020 г., регистрационный N 61828).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1.4. Обучение по образовательной программе в образовательной организации осуществляется в очной, очно-заочной и заочной формах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1.5.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Реализация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деятельность при освоении образовательной программы или отдельных ее компонентов организуется в форме практической подготовки.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 соответствующую примерную основную образовательную программу, включенную в реестр примерных основных образовательных программ (далее - ПООП) примерной рабочей программы воспитания и примерного календарного плана воспитательной работы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</w:t>
      </w:r>
      <w:hyperlink w:history="0" r:id="rId15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2 статьи 12.1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1.8.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&lt;4&gt;.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</w:t>
      </w:r>
      <w:hyperlink w:history="0" r:id="rId16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Статья 14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>
      <w:pPr>
        <w:pStyle w:val="0"/>
        <w:jc w:val="both"/>
      </w:pPr>
      <w:r>
        <w:rPr>
          <w:sz w:val="20"/>
        </w:rPr>
      </w:r>
    </w:p>
    <w:bookmarkStart w:id="62" w:name="P62"/>
    <w:bookmarkEnd w:id="62"/>
    <w:p>
      <w:pPr>
        <w:pStyle w:val="0"/>
        <w:ind w:firstLine="540"/>
        <w:jc w:val="both"/>
      </w:pPr>
      <w:r>
        <w:rPr>
          <w:sz w:val="20"/>
        </w:rPr>
        <w:t xml:space="preserve">1.9. Срок получения образования по образовательной программе в очной форме обучения, вне зависимости от применяемых образовательных технологий, составляет: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среднего общего образования - 2 года 10 месяцев;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основного общего образования - 3 года 10 месяцев.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Срок получения образования по образовательной программе в очно-заочной и заочной формах обучения, вне зависимости от применяемых образовательных технологий, увеличивается по сравнению со сроком получения образования в очной форме обучения не более чем на 1 год.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1.10. При обучении по индивидуальному учебному плану срок получения образования по образовательной программе, вне зависимости от формы обучения, составляет не более срока получения образования, установленного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один год по сравнению со сроком получения образования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1.11. Конкретный срок получения образования в очно-заочной и заочной формах обучения, а также по индивидуальному учебному плану, в том числе при ускоренном обучении, определяются образовательной организацией самостоятельно в пределах сроков, установленных </w:t>
      </w:r>
      <w:hyperlink w:history="0" w:anchor="P62" w:tooltip="1.9. Срок получения образования по образовательной программе в очной форме обучения, вне зависимости от применяемых образовательных технологий, составляет:">
        <w:r>
          <w:rPr>
            <w:sz w:val="20"/>
            <w:color w:val="0000ff"/>
          </w:rPr>
          <w:t xml:space="preserve">пунктом 1.9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1.12. Для определения объема образовательной программы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1.13. Срок получения образования по образовательной программе, реализуемой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а также объем такой образовательной программы могут быть уменьшены с учетом соответствующей ПООП не более чем на 40 процентов от срока получения образования и объема образовательной программы, установленных ФГОС СПО &lt;5&gt;, за исключением срока получения образования и объема образовательной программы, отведенных на получение среднего общего образования в пределах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17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сионалитет&quot; (вместе с &quot;Положением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 {КонсультантПлюс}">
        <w:r>
          <w:rPr>
            <w:sz w:val="20"/>
            <w:color w:val="0000ff"/>
          </w:rPr>
          <w:t xml:space="preserve">Пункт 11</w:t>
        </w:r>
      </w:hyperlink>
      <w:r>
        <w:rPr>
          <w:sz w:val="20"/>
        </w:rPr>
        <w:t xml:space="preserve"> Положения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утвержденного постановлением Правительства Российской Федерации от 16 марта 2022 г. N 387 (Собрание законодательства Российской Федерации, 2022, N 12, ст. 1871).</w:t>
      </w:r>
    </w:p>
    <w:p>
      <w:pPr>
        <w:pStyle w:val="0"/>
        <w:jc w:val="both"/>
      </w:pPr>
      <w:r>
        <w:rPr>
          <w:sz w:val="20"/>
        </w:rPr>
      </w:r>
    </w:p>
    <w:bookmarkStart w:id="74" w:name="P74"/>
    <w:bookmarkEnd w:id="74"/>
    <w:p>
      <w:pPr>
        <w:pStyle w:val="0"/>
        <w:ind w:firstLine="540"/>
        <w:jc w:val="both"/>
      </w:pPr>
      <w:r>
        <w:rPr>
          <w:sz w:val="20"/>
        </w:rPr>
        <w:t xml:space="preserve">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</w:t>
      </w:r>
      <w:hyperlink w:history="0" r:id="rId18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17</w:t>
        </w:r>
      </w:hyperlink>
      <w:r>
        <w:rPr>
          <w:sz w:val="20"/>
        </w:rPr>
        <w:t xml:space="preserve"> Транспорт, </w:t>
      </w:r>
      <w:hyperlink w:history="0" r:id="rId19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25</w:t>
        </w:r>
      </w:hyperlink>
      <w:r>
        <w:rPr>
          <w:sz w:val="20"/>
        </w:rPr>
        <w:t xml:space="preserve"> Ракетно-космическая промышленность, </w:t>
      </w:r>
      <w:hyperlink w:history="0" r:id="rId20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32</w:t>
        </w:r>
      </w:hyperlink>
      <w:r>
        <w:rPr>
          <w:sz w:val="20"/>
        </w:rPr>
        <w:t xml:space="preserve"> Авиастроение &lt;6&gt;.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</w:t>
      </w:r>
      <w:hyperlink w:history="0" r:id="rId21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Таблица</w:t>
        </w:r>
      </w:hyperlink>
      <w:r>
        <w:rPr>
          <w:sz w:val="20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1.15. При разработке образовательной программы организация устанавливает направленность, которая конкретизирует содержание программы путем ориентации на виды деятельности, с учетом соответствующей ПООП.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II. ТРЕБОВАНИЯ К СТРУКТУРЕ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2.1. Структура и объем образовательной программы (таблица N 1)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дисциплины (модули);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государственную итоговую аттестацию.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center"/>
      </w:pPr>
      <w:r>
        <w:rPr>
          <w:sz w:val="20"/>
        </w:rPr>
        <w:t xml:space="preserve">Структура и объем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706"/>
        <w:gridCol w:w="4365"/>
      </w:tblGrid>
      <w:tr>
        <w:tc>
          <w:tcPr>
            <w:tcW w:w="470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Структура образовательной программы</w:t>
            </w:r>
          </w:p>
        </w:tc>
        <w:tc>
          <w:tcPr>
            <w:tcW w:w="43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Объем образовательной программы, в академических часах</w:t>
            </w:r>
          </w:p>
        </w:tc>
      </w:tr>
      <w:tr>
        <w:tc>
          <w:tcPr>
            <w:tcW w:w="4706" w:type="dxa"/>
          </w:tcPr>
          <w:p>
            <w:pPr>
              <w:pStyle w:val="0"/>
            </w:pPr>
            <w:r>
              <w:rPr>
                <w:sz w:val="20"/>
              </w:rPr>
              <w:t xml:space="preserve">Дисциплины (модули)</w:t>
            </w:r>
          </w:p>
        </w:tc>
        <w:tc>
          <w:tcPr>
            <w:tcW w:w="43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2952</w:t>
            </w:r>
          </w:p>
        </w:tc>
      </w:tr>
      <w:tr>
        <w:tc>
          <w:tcPr>
            <w:tcW w:w="4706" w:type="dxa"/>
          </w:tcPr>
          <w:p>
            <w:pPr>
              <w:pStyle w:val="0"/>
            </w:pPr>
            <w:r>
              <w:rPr>
                <w:sz w:val="20"/>
              </w:rPr>
              <w:t xml:space="preserve">Практика</w:t>
            </w:r>
          </w:p>
        </w:tc>
        <w:tc>
          <w:tcPr>
            <w:tcW w:w="43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900</w:t>
            </w:r>
          </w:p>
        </w:tc>
      </w:tr>
      <w:tr>
        <w:tc>
          <w:tcPr>
            <w:tcW w:w="4706" w:type="dxa"/>
          </w:tcPr>
          <w:p>
            <w:pPr>
              <w:pStyle w:val="0"/>
            </w:pPr>
            <w:r>
              <w:rPr>
                <w:sz w:val="20"/>
              </w:rPr>
              <w:t xml:space="preserve">Государственная итоговая аттестация</w:t>
            </w:r>
          </w:p>
        </w:tc>
        <w:tc>
          <w:tcPr>
            <w:tcW w:w="43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216</w:t>
            </w:r>
          </w:p>
        </w:tc>
      </w:tr>
      <w:tr>
        <w:tc>
          <w:tcPr>
            <w:gridSpan w:val="2"/>
            <w:tcW w:w="907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Общий объем образовательной программы:</w:t>
            </w:r>
          </w:p>
        </w:tc>
      </w:tr>
      <w:tr>
        <w:tc>
          <w:tcPr>
            <w:tcW w:w="4706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среднего общего образования</w:t>
            </w:r>
          </w:p>
        </w:tc>
        <w:tc>
          <w:tcPr>
            <w:tcW w:w="43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4464</w:t>
            </w:r>
          </w:p>
        </w:tc>
      </w:tr>
      <w:tr>
        <w:tc>
          <w:tcPr>
            <w:tcW w:w="4706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436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5940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2.2. Образовательная программа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социально-гуманитарный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общепрофессиональный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профессиональный цикл.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Обязательная часть образовательной программы направлена на формирование общих и профессиональных компетенций, предусмотренных </w:t>
      </w:r>
      <w:hyperlink w:history="0" w:anchor="P137" w:tooltip="III. ТРЕБОВАНИЯ К РЕЗУЛЬТАТАМ ОСВОЕНИЯ">
        <w:r>
          <w:rPr>
            <w:sz w:val="20"/>
            <w:color w:val="0000ff"/>
          </w:rPr>
          <w:t xml:space="preserve">главой III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Объем обязательной части без учета объема государственной итоговой аттестации должен составлять не более 70 процентов от общего объема времени, отведенного на освоение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Вариативная часть образовательной программы объемом не менее 30 процентов от общего объема времени, отведенного на освоение образовательной программы, дает возможность дальнейшего развития общих и профессиональных компетенций за счет расширения видов деятельности, введения дополнительных профессиональных компетенций, необходимых для обеспечения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Конкретное соотношение обязательной и вариативной части образовательной программы, объемные параметры циклов и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bookmarkStart w:id="115" w:name="P115"/>
    <w:bookmarkEnd w:id="115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следующих видов деятельности: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оформление рабочей конструкторской документации и текстовых документов;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работы структурного подразделения;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техническая поддержка процесса проектирования механических конструкций, узлов и агрегатов систем летательных аппаратов (по выбору);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обеспечение производства летательных аппаратов, разработка технологических процессов и технологической документации (по выбору);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техническая поддержка создания изделий ракетно-космической техники, их составных частей и систем (по выбору);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обеспечение производства и испытаний изделий ракетно-космической техники, их составных частей и систем (по выбору).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Образовательная организация при необходимости самостоятельно формирует виды деятельности в дополнение к видам деятельности, указанным в </w:t>
      </w:r>
      <w:hyperlink w:history="0" w:anchor="P115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их видов деятельности:">
        <w:r>
          <w:rPr>
            <w:sz w:val="20"/>
            <w:color w:val="0000ff"/>
          </w:rPr>
          <w:t xml:space="preserve">пункте 2.4</w:t>
        </w:r>
      </w:hyperlink>
      <w:r>
        <w:rPr>
          <w:sz w:val="20"/>
        </w:rPr>
        <w:t xml:space="preserve"> ФГОС СПО, в рамках вариативной части.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При освоении социально-гуманитарного, общепрофессионального и профессионального циклов (далее - учебные циклы) выделяется объем учебных занятий, практики (в профессиональном цикле) и самостоятельной работы.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проведение учебных занятий и практики должно быть выделено не менее 70 процентов от объема учебных циклов образовательной программы в очной форме обучения, не менее 25 процентов - в очно-заочной форме обучения, не менее 10 процентов - в заочной форме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учебные циклы включается промежуточная аттестация обучающихся, которая осуществляется в рамках освоения указанных циклов в соответствии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Обязательная часть социально-гуманитарного цикла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культура", "Основы бережливого производства", "Основы финансовой грамотности".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Общий объем дисциплины "Безопасность жизнедеятельности" в очной форме обучения не может быть менее 68 академических часов, из них на освоение основ военной службы (для юношей) - не менее 48 академических часов; для подгрупп девушек это время может быть использовано на освоение основ медицинских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психофизической подготовке к профессиональной деятельности, предупреждению профессиональных заболеваний.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Обязательная часть общепрофессионального цикла образовательной программы должна предусматривать изучение дисциплин: "Математические методы решения прикладных профессиональных задач", "Прикладные компьютерные программы в профессиональной деятельности", "Инженерная графика", "Техническая механика", "Материаловедение", "Электротехника и электронная техника", "Метрология, стандартизация и подтверждение качества".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Профессиональный цикл образовательной программы включает профессиональные модули, которые формируются в соответствии с выбранными видами деятельности, предусмотренными </w:t>
      </w:r>
      <w:hyperlink w:history="0" w:anchor="P115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СПО. В состав профессионального модуля входят один или несколько междисциплинарных курсов, которые устанавливаются образовательной организацией самостоятельно с учетом ПООП. Объем профессионального модуля составляет не менее 8 зачетных единиц.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Практика входит в профессиональный цикл и имеет следующие виды - учебная практика и производственная практика, которые реализуются в форме практической подготовки. Учебная и производственная практики реализуются как в несколько периодов, так и рассредоточенно, чередуясь с учебными занятиями. Типы практики устанавливаются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2.12. Государственная итоговая аттестация проводится в форме демонстрационного экзамена и защиты дипломного проекта (работы).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2.13. Государственная итоговая аттестация завершается присвоением квалификации специалиста среднего звена, указанной в </w:t>
      </w:r>
      <w:hyperlink w:history="0"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24.02.01 Производство летательных аппаратов (далее соответственно - ФГОС СПО, образовательная программа, специальность) в соответствии с квалификацией специалиста среднего звена &quot;техник&quot; &lt;1&gt;.">
        <w:r>
          <w:rPr>
            <w:sz w:val="20"/>
            <w:color w:val="0000ff"/>
          </w:rPr>
          <w:t xml:space="preserve">пункте 1.1</w:t>
        </w:r>
      </w:hyperlink>
      <w:r>
        <w:rPr>
          <w:sz w:val="20"/>
        </w:rPr>
        <w:t xml:space="preserve"> ФГОС СПО.</w:t>
      </w:r>
    </w:p>
    <w:p>
      <w:pPr>
        <w:pStyle w:val="0"/>
        <w:jc w:val="both"/>
      </w:pPr>
      <w:r>
        <w:rPr>
          <w:sz w:val="20"/>
        </w:rPr>
      </w:r>
    </w:p>
    <w:bookmarkStart w:id="137" w:name="P137"/>
    <w:bookmarkEnd w:id="137"/>
    <w:p>
      <w:pPr>
        <w:pStyle w:val="2"/>
        <w:outlineLvl w:val="1"/>
        <w:jc w:val="center"/>
      </w:pPr>
      <w:r>
        <w:rPr>
          <w:sz w:val="20"/>
        </w:rPr>
        <w:t xml:space="preserve">III. ТРЕБОВАНИЯ К РЕЗУЛЬТАТАМ ОСВОЕНИЯ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В результате освоения образовательной программы у выпускника должны быть сформированы общие и профессиональные компетенции.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Выпускник, освоивший образовательную программу, должен обладать следующими общими компетенциями (далее - ОК):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01. Выбирать способы решения задач профессиональной деятельности применительно к различным контекстам;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04. Эффективно взаимодействовать и работать в коллективе и команде;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09. Пользоваться профессиональной документацией на государственном и иностранном языках.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Выпускник, освоивший образовательную программу, должен обладать профессиональными компетенциями (далее - ПК), соответствующими выбранным видам деятельности (таблица N 2), предусмотренным </w:t>
      </w:r>
      <w:hyperlink w:history="0" w:anchor="P115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сформированными в том числе на основе профессиональных стандартов (при наличии), указанных в ПООП: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721"/>
        <w:gridCol w:w="6350"/>
      </w:tblGrid>
      <w:tr>
        <w:tc>
          <w:tcPr>
            <w:tcW w:w="272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Виды деятельности</w:t>
            </w:r>
          </w:p>
        </w:tc>
        <w:tc>
          <w:tcPr>
            <w:tcW w:w="635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Профессиональные компетенции, соответствующие видам деятельности</w:t>
            </w:r>
          </w:p>
        </w:tc>
      </w:tr>
      <w:tr>
        <w:tc>
          <w:tcPr>
            <w:tcW w:w="272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635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оформление рабочей конструкторской документации и текстовых документов</w:t>
            </w:r>
          </w:p>
        </w:tc>
        <w:tc>
          <w:tcPr>
            <w:tcW w:w="6350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ПК. 1.1. Применять методы электронного моделирования при оформлении конструкторской документации.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ПК. 1.2. Оформлять рабочую текстовую техническую документацию.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ПК. 1.3. Вносить изменения в конструкторскую и техническую документацию.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организация работы структурного подразделения</w:t>
            </w:r>
          </w:p>
        </w:tc>
        <w:tc>
          <w:tcPr>
            <w:tcW w:w="6350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ПК. 2.1. Координировать работу производственного участка и осуществлять содействие в выполнения участком производственных заданий.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ПК. 2.2. Проверять качество выполняемых работ на производственном участке.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ПК. 2.3. Производить основные расчеты экономических показателей работы организации.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ПК. 2.4. Контролировать выполнение требований правил охраны труда, производственной санитарии и электробезопасности на участке.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техническая поддержка процесса проектирования механических конструкций, узлов и агрегатов систем летательных аппаратов (по выбору)</w:t>
            </w:r>
          </w:p>
        </w:tc>
        <w:tc>
          <w:tcPr>
            <w:tcW w:w="6350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3.1. Разрабатывать теоретические компоновочные чертежи деталей, узлов, схем и электронные макеты летательных аппаратов.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3.2. Оформлять эскизы и чертежи деталей в электронном виде.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3.3. Производить проектировочные расчеты деталей, узлов, агрегатов, кинематических схем характеристик летательных аппаратов.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3.4. Осуществлять работу с конструкторской документацией на детали, узлы, агрегаты, монтажные схемы подсистем летательных аппаратов.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3.5. Осуществлять подготовку и выпуск производственных инструкций, материалов для эксплуатационно-технической документации.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техническое обеспечение производства летательных аппаратов, разработка технологических процессов и технологической документации (по выбору)</w:t>
            </w:r>
          </w:p>
        </w:tc>
        <w:tc>
          <w:tcPr>
            <w:tcW w:w="6350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4.1. Осуществлять технологическое сопровождение производства деталей, узлов, агрегатов, систем летательных аппаратов.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4.2. Разрабатывать технологическую документацию на спроектированные технологические процессы сборки узлов и агрегатов, монтажа систем летательных аппаратов.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4.3. Контролировать параметры качества исполнения технологических процессов и соблюдения технологической дисциплины.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4.4. Производить нормирование технологических процессов.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техническая поддержка создания изделий ракетно-космической техники, их составных частей и систем (по выбору)</w:t>
            </w:r>
          </w:p>
        </w:tc>
        <w:tc>
          <w:tcPr>
            <w:tcW w:w="6350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3.1. Производить анализ объектов производства изделий ракетно-космической техники, их составных частей и систем, в том числе систем жизнеобеспечения, терморегулирования, агрегатов пневмогидравлических систем.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3.2. Разрабатывать чертежи и электронные модели составных частей изделий ракетно-космической техники, в том числе деталей, узлов, агрегатов.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3.3. Оформлять эскизы и чертежи деталей в электронном виде.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3.4. Применять методы электронного моделирования для оформления конструкторской документации.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3.5. Принимать участие в разработке конструкторской и служебной документации на изделия ракетно-космической техники, их составные части и системы.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3.6. Осуществлять работу с технической документацией на изделия ракетно-космической техники, их составные части и системы, в том числе системы жизнеобеспечения, терморегулирования, агрегаты пневмогидравлических систем.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техническое обеспечение производства и испытаний изделий ракетно-космической техники, их составных частей и систем (по выбору)</w:t>
            </w:r>
          </w:p>
        </w:tc>
        <w:tc>
          <w:tcPr>
            <w:tcW w:w="6350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4.1. Осуществлять разработку технологической документации для производства изделий ракетно-космической техники, их составных частей и систем.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4.2. Осуществлять технологическое сопровождение производства изделий ракетно-космической техники, их составных частей и систем.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4.3. Производить анализ программ и методик испытаний изделий ракетно-космической техники, их составных частей.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4.4. Осуществлять подготовку к проведению испытаний и входного контроля изделий ракетно-космической техники и их составных частей.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4.5. Вносить предложения по применению новых технологических процессов и материалов, по повышению эффективности технологических процессов производства изделий ракетно-космической техники и их составных частей.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видам деятельности, установленным в соответствии с </w:t>
      </w:r>
      <w:hyperlink w:history="0" w:anchor="P115" w:tooltip="2.4. Образовательная программа разрабатывается образовательной организацией в соответствии с ФГОС СПО и с учетом соответствующей ПООП,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по видам деятельности, сформированным в вариативной части образовательной программы образовательной организацией для учета потребностей регионального рынка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при необходимости вводит в вариативную часть учебных циклов образовательной программы модуль по освоению компетенций цифровой экономики, соответствующих одному или нескольким видам деятельности, осваиваемых в рамках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Образовательная организация с учетом ПООП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Совокупность запланированных результатов обучения по дисциплинам (модулям) и практикам должна обеспечивать выпускнику освоение всех компетенций, установленных образовательной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3.6. Обучающиеся, осваивающие образовательную программу, могут освоить профессию рабочего, должность служащего (одну или несколько) в соответствии с перечнем профессий рабочих, должностей служащих, по которым осуществляется профессиональное обучение &lt;7&gt;.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&lt;7&gt; </w:t>
      </w:r>
      <w:hyperlink w:history="0" r:id="rId22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7 статьи 73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22, ст. 3379).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IV. ТРЕБОВАНИЯ К УСЛОВИЯМ РЕАЛИЗАЦИИ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4.1. Образовательная организация осуществляет образовательную деятельность по реализации образовательной программы среднего профессионального образования в соответствии с действующими санитарными нормами и правилами &lt;8&gt;.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&lt;8&gt; Федеральный </w:t>
      </w:r>
      <w:hyperlink w:history="0" r:id="rId23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 санитарные правила </w:t>
      </w:r>
      <w:hyperlink w:history="0" r:id="rId24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П 2.4.3648-20. Санитарные правила...&quot;) (Зарегистрировано в Минюсте России 18.12.2020 N 61573) {КонсультантПлюс}">
        <w:r>
          <w:rPr>
            <w:sz w:val="20"/>
            <w:color w:val="0000ff"/>
          </w:rPr>
          <w:t xml:space="preserve">СП 2.4.3648-20</w:t>
        </w:r>
      </w:hyperlink>
      <w:r>
        <w:rPr>
          <w:sz w:val="20"/>
        </w:rP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61573); санитарно-эпидемиологические правила и нормы </w:t>
      </w:r>
      <w:hyperlink w:history="0" r:id="rId25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&quot;СанПиН 2.3/2.4.3590-20. Санитарно-эпидемиологические правила и нормы...&quot;) (Зарегистрировано в Минюсте России 11.11.2020 N 60833) {КонсультантПлюс}">
        <w:r>
          <w:rPr>
            <w:sz w:val="20"/>
            <w:color w:val="0000ff"/>
          </w:rPr>
          <w:t xml:space="preserve">СанПиН 2.3/2.4.3590-20</w:t>
        </w:r>
      </w:hyperlink>
      <w:r>
        <w:rPr>
          <w:sz w:val="20"/>
        </w:rPr>
        <w:t xml:space="preserve"> "Санитарно-эпидемиологические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 Федерации 11 ноября 2020 г., регистрационный N 60833); санитарные правила и нормы </w:t>
      </w:r>
      <w:hyperlink w:history="0" r:id="rId26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я&quot; (вместе с &quot;СанПиН 1.2.3685-21. Санитарные правила и нормы...&quot;) (Зарегистрировано в Минюсте России 29.01.2021 N 62296) {КонсультантПлюс}">
        <w:r>
          <w:rPr>
            <w:sz w:val="20"/>
            <w:color w:val="0000ff"/>
          </w:rPr>
          <w:t xml:space="preserve">СанПиН 1.2.3685-21</w:t>
        </w:r>
      </w:hyperlink>
      <w:r>
        <w:rPr>
          <w:sz w:val="20"/>
        </w:rP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2021 г. N 2 (зарегистрировано Министерством юстиции Российской Федерации 29 января 2021 г., регистрационный N 62296).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4.2.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 организации воспитания обучающихся, кадровым и финансовым условиям реализации образовательной программы: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4.3. Общесистемные требования к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учетом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формы;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4.4. Требования к материально-техническому и учебно-методическому обеспечению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специальные помещения должны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все виды учебной деятельности обучающихся, предусмотренные учебным планом, включая промежуточную и государственную итоговую аттестацию, должны быть обеспечены расходными материалами;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допускается замена оборудования его виртуальными аналогами;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образовательная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е)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ж) в качестве основной литературы образовательная организация использует учебники, учебные пособия, предусмотренные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з) в случае наличия электронной информационно-образовательной среды допускается замена печатного библиотечного фонда с предоставлением права одновременного доступа не менее 25 процентов обучающихся к цифровой (электронной) библиотеке;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и)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к) обучающиеся инвалиды и лица с ограниченными возможностями здоровья должны быть обеспечены печатными и (или) электронными учебными изданиями, адаптированными при необходимости для обучения указанных обучающихся;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л) образовательная программа должна обеспечиваться учебно-методической документацией по всем учебным дисциплинам (модулям), видам практики, видам государственной итоговой аттестации;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4.5. Требования к кадровым условиям реализаций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руководителей и работников организаций, направление деятельности которых соответствует одной из областей профессиональной деятельности, указанных в </w:t>
      </w:r>
      <w:hyperlink w:history="0" w:anchor="P74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25 Ракетно-космическая промышленность, 32 Авиастроение &lt;6&gt;.">
        <w:r>
          <w:rPr>
            <w:sz w:val="20"/>
            <w:color w:val="0000ff"/>
          </w:rPr>
          <w:t xml:space="preserve">пункте 1.14</w:t>
        </w:r>
      </w:hyperlink>
      <w:r>
        <w:rPr>
          <w:sz w:val="20"/>
        </w:rPr>
        <w:t xml:space="preserve"> ФГОС СПО (имеющих стаж работы в данной профессиональной области не менее трех лет);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74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25 Ракетно-космическая промышленность, 32 Авиастроение &lt;6&gt;.">
        <w:r>
          <w:rPr>
            <w:sz w:val="20"/>
            <w:color w:val="0000ff"/>
          </w:rPr>
          <w:t xml:space="preserve">пункте 1.14</w:t>
        </w:r>
      </w:hyperlink>
      <w:r>
        <w:rPr>
          <w:sz w:val="20"/>
        </w:rPr>
        <w:t xml:space="preserve"> ФГОС СПО, а также в других областях профессиональной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доля педагогических работников (в приведенных к целочисленным значениям ставок), имеющих опыт деятельности не менее трех лет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74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25 Ракетно-космическая промышленность, 32 Авиастроение &lt;6&gt;.">
        <w:r>
          <w:rPr>
            <w:sz w:val="20"/>
            <w:color w:val="0000ff"/>
          </w:rPr>
          <w:t xml:space="preserve">пункте 1.14</w:t>
        </w:r>
      </w:hyperlink>
      <w:r>
        <w:rPr>
          <w:sz w:val="20"/>
        </w:rPr>
        <w:t xml:space="preserve"> ФГОС СПО, в общем числе педагогических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4.6. Требование к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финансовое обеспечение реализации образовательной программы должно осуществляться в объеме не ниже базовых нормативных затрат на оказание государственной услуги по реализации имеющих государственную аккредитацию образовательных программ среднего профессионального образования по специальности с учетом корректирующих коэффициентов.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4.7. Требования к применяемым механизмам оценки качества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качество образовательной программы определяется в рамках системы внутренней оценки, а также системы внешней оценки на добровольной основе;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 педагогических работников образовательной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внешняя оценка качества образовательной программы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требованиям профессиональных стандартов, требованиям рынка труда к специалистам соответствующего профиля.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Минпросвещения России от 04.07.2022 N 518</w:t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16.12.2022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3CF908965C3D5545E1AF6271D06D3DA2E43C11BAD938F5D1908E50EAB842C48986FEDE5114CDF9BCC2413CCC229D9C273EDC263201297C3DC7yAM" TargetMode = "External"/>
	<Relationship Id="rId8" Type="http://schemas.openxmlformats.org/officeDocument/2006/relationships/hyperlink" Target="consultantplus://offline/ref=3CF908965C3D5545E1AF6271D06D3DA2E33619B9D83CF5D1908E50EAB842C48986FEDE5114CDF9BEC1413CCC229D9C273EDC263201297C3DC7yAM" TargetMode = "External"/>
	<Relationship Id="rId9" Type="http://schemas.openxmlformats.org/officeDocument/2006/relationships/hyperlink" Target="consultantplus://offline/ref=3CF908965C3D5545E1AF6271D06D3DA2E33618BFDE3EF5D1908E50EAB842C48986FEDE5114CDF9B8C1413CCC229D9C273EDC263201297C3DC7yAM" TargetMode = "External"/>
	<Relationship Id="rId10" Type="http://schemas.openxmlformats.org/officeDocument/2006/relationships/hyperlink" Target="consultantplus://offline/ref=3CF908965C3D5545E1AF6271D06D3DA2E33817BDDD3CF5D1908E50EAB842C48986FEDE5114CCFABEC3413CCC229D9C273EDC263201297C3DC7yAM" TargetMode = "External"/>
	<Relationship Id="rId11" Type="http://schemas.openxmlformats.org/officeDocument/2006/relationships/hyperlink" Target="consultantplus://offline/ref=3CF908965C3D5545E1AF6271D06D3DA2E43E19BDD93FF5D1908E50EAB842C48986FEDE5114CDF0BAC6413CCC229D9C273EDC263201297C3DC7yAM" TargetMode = "External"/>
	<Relationship Id="rId12" Type="http://schemas.openxmlformats.org/officeDocument/2006/relationships/hyperlink" Target="consultantplus://offline/ref=3CF908965C3D5545E1AF6271D06D3DA2E43E11B3DF3EF5D1908E50EAB842C48986FEDE5114CDF9B8C2413CCC229D9C273EDC263201297C3DC7yAM" TargetMode = "External"/>
	<Relationship Id="rId13" Type="http://schemas.openxmlformats.org/officeDocument/2006/relationships/hyperlink" Target="consultantplus://offline/ref=3CF908965C3D5545E1AF6271D06D3DA2E43E19BDD93FF5D1908E50EAB842C48986FEDE5114CDFCBFC1413CCC229D9C273EDC263201297C3DC7yAM" TargetMode = "External"/>
	<Relationship Id="rId14" Type="http://schemas.openxmlformats.org/officeDocument/2006/relationships/hyperlink" Target="consultantplus://offline/ref=3CF908965C3D5545E1AF6271D06D3DA2E43D16BFD838F5D1908E50EAB842C48986FEDE541F99A8FD9647699B78C993383AC225C3y2M" TargetMode = "External"/>
	<Relationship Id="rId15" Type="http://schemas.openxmlformats.org/officeDocument/2006/relationships/hyperlink" Target="consultantplus://offline/ref=3CF908965C3D5545E1AF6271D06D3DA2E43C13BEDF38F5D1908E50EAB842C48986FEDE5410CBF2ED920E3D9067CE8F273ADC25301DC2y9M" TargetMode = "External"/>
	<Relationship Id="rId16" Type="http://schemas.openxmlformats.org/officeDocument/2006/relationships/hyperlink" Target="consultantplus://offline/ref=3CF908965C3D5545E1AF6271D06D3DA2E43C13BEDF38F5D1908E50EAB842C48986FEDE5114CDFBBDCA413CCC229D9C273EDC263201297C3DC7yAM" TargetMode = "External"/>
	<Relationship Id="rId17" Type="http://schemas.openxmlformats.org/officeDocument/2006/relationships/hyperlink" Target="consultantplus://offline/ref=3CF908965C3D5545E1AF6271D06D3DA2E43E11B3DF3EF5D1908E50EAB842C48986FEDE5114CDF9BAC3413CCC229D9C273EDC263201297C3DC7yAM" TargetMode = "External"/>
	<Relationship Id="rId18" Type="http://schemas.openxmlformats.org/officeDocument/2006/relationships/hyperlink" Target="consultantplus://offline/ref=3CF908965C3D5545E1AF6271D06D3DA2E23E14BDDE3EF5D1908E50EAB842C48986FEDE5114CDF9B1C1413CCC229D9C273EDC263201297C3DC7yAM" TargetMode = "External"/>
	<Relationship Id="rId19" Type="http://schemas.openxmlformats.org/officeDocument/2006/relationships/hyperlink" Target="consultantplus://offline/ref=3CF908965C3D5545E1AF6271D06D3DA2E23E14BDDE3EF5D1908E50EAB842C48986FEDE5114CDF9B0CB413CCC229D9C273EDC263201297C3DC7yAM" TargetMode = "External"/>
	<Relationship Id="rId20" Type="http://schemas.openxmlformats.org/officeDocument/2006/relationships/hyperlink" Target="consultantplus://offline/ref=3CF908965C3D5545E1AF6271D06D3DA2E23E14BDDE3EF5D1908E50EAB842C48986FEDE5114CDF8B8C1413CCC229D9C273EDC263201297C3DC7yAM" TargetMode = "External"/>
	<Relationship Id="rId21" Type="http://schemas.openxmlformats.org/officeDocument/2006/relationships/hyperlink" Target="consultantplus://offline/ref=3CF908965C3D5545E1AF6271D06D3DA2E23E14BDDE3EF5D1908E50EAB842C48986FEDE5114CDF9BDC4413CCC229D9C273EDC263201297C3DC7yAM" TargetMode = "External"/>
	<Relationship Id="rId22" Type="http://schemas.openxmlformats.org/officeDocument/2006/relationships/hyperlink" Target="consultantplus://offline/ref=3CF908965C3D5545E1AF6271D06D3DA2E43C13BEDF38F5D1908E50EAB842C48986FEDE5415C8F2ED920E3D9067CE8F273ADC25301DC2y9M" TargetMode = "External"/>
	<Relationship Id="rId23" Type="http://schemas.openxmlformats.org/officeDocument/2006/relationships/hyperlink" Target="consultantplus://offline/ref=3CF908965C3D5545E1AF6271D06D3DA2E43C10BCDE3AF5D1908E50EAB842C48994FE865D15CBE7B8C1546A9D64CCyAM" TargetMode = "External"/>
	<Relationship Id="rId24" Type="http://schemas.openxmlformats.org/officeDocument/2006/relationships/hyperlink" Target="consultantplus://offline/ref=3CF908965C3D5545E1AF6271D06D3DA2E33811BFD53AF5D1908E50EAB842C48986FEDE5114CDF9BDC4413CCC229D9C273EDC263201297C3DC7yAM" TargetMode = "External"/>
	<Relationship Id="rId25" Type="http://schemas.openxmlformats.org/officeDocument/2006/relationships/hyperlink" Target="consultantplus://offline/ref=3CF908965C3D5545E1AF6271D06D3DA2E33917BFDA3AF5D1908E50EAB842C48986FEDE5114CDF9BAC4413CCC229D9C273EDC263201297C3DC7yAM" TargetMode = "External"/>
	<Relationship Id="rId26" Type="http://schemas.openxmlformats.org/officeDocument/2006/relationships/hyperlink" Target="consultantplus://offline/ref=3CF908965C3D5545E1AF6271D06D3DA2E33815B2DF37F5D1908E50EAB842C48986FEDE5114CDF8BAC4413CCC229D9C273EDC263201297C3DC7yAM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04.07.2022 N 518
"Об утверждении федерального государственного образовательного стандарта среднего профессионального образования по специальности 24.02.01 Производство летательных аппаратов"
(Зарегистрировано в Минюсте России 29.07.2022 N 69446)</dc:title>
  <dcterms:created xsi:type="dcterms:W3CDTF">2022-12-16T12:50:02Z</dcterms:created>
</cp:coreProperties>
</file>