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pBdr>
          <w:bottom w:val="single" w:sz="14" w:space="2" w:color="2E5A88"/>
        </w:pBdr>
      </w:pPr>
      <w:r>
        <w:rPr>
          <w:rFonts w:ascii="Hiragino Sans" w:hAnsi="Hiragino Sans" w:eastAsia="Hiragino Sans" w:cs="Hiragino Sans"/>
          <w:b/>
          <w:color w:val="666666"/>
          <w:sz w:val="22"/>
        </w:rPr>
        <w:t>CFP® 第1回 最終準備シート</w:t>
      </w:r>
      <w:r>
        <w:rPr>
          <w:rFonts w:ascii="Hiragino Sans" w:hAnsi="Hiragino Sans" w:eastAsia="Hiragino Sans" w:cs="Hiragino Sans"/>
          <w:b w:val="0"/>
          <w:color w:val="666666"/>
          <w:sz w:val="22"/>
        </w:rPr>
        <w:t xml:space="preserve">　／　科目：</w:t>
      </w:r>
      <w:r>
        <w:rPr>
          <w:rFonts w:ascii="Hiragino Sans" w:hAnsi="Hiragino Sans" w:eastAsia="Hiragino Sans" w:cs="Hiragino Sans"/>
          <w:b/>
          <w:color w:val="2E5A88"/>
          <w:sz w:val="30"/>
        </w:rPr>
        <w:t>タックス</w:t>
      </w:r>
      <w:r>
        <w:rPr>
          <w:rFonts w:ascii="Hiragino Sans" w:hAnsi="Hiragino Sans" w:eastAsia="Hiragino Sans" w:cs="Hiragino Sans"/>
          <w:b w:val="0"/>
          <w:color w:val="666666"/>
          <w:sz w:val="17"/>
        </w:rPr>
        <w:t>（タックスプランニング）</w:t>
      </w:r>
    </w:p>
    <w:p>
      <w:pPr>
        <w:spacing w:before="40" w:after="0" w:line="264" w:lineRule="auto"/>
      </w:pPr>
      <w:r>
        <w:rPr>
          <w:rFonts w:ascii="Hiragino Sans" w:hAnsi="Hiragino Sans" w:eastAsia="Hiragino Sans" w:cs="Hiragino Sans"/>
          <w:b/>
          <w:color w:val="222222"/>
          <w:sz w:val="17"/>
        </w:rPr>
        <w:t>試験日：</w:t>
      </w:r>
      <w:r>
        <w:rPr>
          <w:rFonts w:ascii="Hiragino Sans" w:hAnsi="Hiragino Sans" w:eastAsia="Hiragino Sans" w:cs="Hiragino Sans"/>
          <w:b/>
          <w:color w:val="2E5A88"/>
          <w:sz w:val="17"/>
        </w:rPr>
        <w:t xml:space="preserve">2026/6/21（日）・第2日目　</w:t>
      </w:r>
      <w:r>
        <w:rPr>
          <w:rFonts w:ascii="Hiragino Sans" w:hAnsi="Hiragino Sans" w:eastAsia="Hiragino Sans" w:cs="Hiragino Sans"/>
          <w:b w:val="0"/>
          <w:color w:val="222222"/>
          <w:sz w:val="17"/>
        </w:rPr>
        <w:t>（基準日 5/22・残り30日）</w:t>
      </w:r>
    </w:p>
    <w:p>
      <w:pPr>
        <w:spacing w:before="0" w:after="0" w:line="264" w:lineRule="auto"/>
      </w:pPr>
      <w:r>
        <w:rPr>
          <w:rFonts w:ascii="Hiragino Sans" w:hAnsi="Hiragino Sans" w:eastAsia="Hiragino Sans" w:cs="Hiragino Sans"/>
          <w:b w:val="0"/>
          <w:color w:val="222222"/>
          <w:sz w:val="16"/>
        </w:rPr>
        <w:t>現状 35/50（70%）　模試3回推移 28→33→35　│　目標 38–40/50（76–80%）　│　学習総枠 約13h（A2h＋B2h＋C9h）</w:t>
      </w:r>
    </w:p>
    <w:p>
      <w:pPr>
        <w:spacing w:before="0" w:after="40" w:line="264" w:lineRule="auto"/>
      </w:pPr>
      <w:r>
        <w:rPr>
          <w:rFonts w:ascii="Hiragino Sans" w:hAnsi="Hiragino Sans" w:eastAsia="Hiragino Sans" w:cs="Hiragino Sans"/>
          <w:b/>
          <w:color w:val="666666"/>
          <w:sz w:val="15"/>
        </w:rPr>
        <w:t xml:space="preserve">全体の流れ： </w:t>
      </w:r>
      <w:r>
        <w:rPr>
          <w:rFonts w:ascii="Hiragino Sans" w:hAnsi="Hiragino Sans" w:eastAsia="Hiragino Sans" w:cs="Hiragino Sans"/>
          <w:b w:val="0"/>
          <w:color w:val="666666"/>
          <w:sz w:val="15"/>
        </w:rPr>
        <w:t>A期 5/22–5/31〔止血〕→ B期 6/1–6/13〔1日目分野〕→ ★試① 6/14〔不動産・ライフ〕→ C期 6/15–6/20〔タックス全振り〕→ ★試② 6/21〔タックス〕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2E5A88"/>
          <w:left w:val="single" w:sz="8" w:space="0" w:color="2E5A88"/>
          <w:bottom w:val="single" w:sz="8" w:space="0" w:color="2E5A88"/>
          <w:right w:val="single" w:sz="8" w:space="0" w:color="2E5A88"/>
          <w:insideH w:val="single" w:sz="8" w:space="0" w:color="2E5A88"/>
          <w:insideV w:val="single" w:sz="8" w:space="0" w:color="2E5A88"/>
        </w:tblBorders>
        <w:tblCellMar>
          <w:top w:w="38" w:type="dxa"/>
          <w:bottom w:w="38" w:type="dxa"/>
          <w:left w:w="95" w:type="dxa"/>
          <w:right w:w="95" w:type="dxa"/>
        </w:tblCellMar>
      </w:tblPr>
      <w:tblGrid>
        <w:gridCol w:w="10602"/>
      </w:tblGrid>
      <w:tr>
        <w:tc>
          <w:tcPr>
            <w:tcW w:type="dxa" w:w="10602"/>
            <w:shd w:val="clear" w:color="auto" w:fill="E7EEF6"/>
          </w:tcPr>
          <w:p>
            <w:pPr>
              <w:spacing w:before="20" w:after="40" w:line="240" w:lineRule="auto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9"/>
              </w:rPr>
              <w:t>▶ 今やること ── フェーズA（5/22〜5/31）</w:t>
            </w:r>
          </w:p>
          <w:p>
            <w:pPr>
              <w:spacing w:before="0" w:after="20" w:line="252" w:lineRule="auto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6"/>
              </w:rPr>
              <w:t>・タックスはA期2hのみ（最重点はライフ）。「損益通算」をスキマ時間で最優先に止血する。</w:t>
            </w:r>
          </w:p>
          <w:p>
            <w:pPr>
              <w:spacing w:before="0" w:after="20" w:line="252" w:lineRule="auto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6"/>
              </w:rPr>
              <w:t>・まず着手 → 問題集 問105–108・純損失問116–117（p126–136）。</w:t>
            </w:r>
          </w:p>
          <w:p>
            <w:pPr>
              <w:spacing w:before="0" w:after="20" w:line="252" w:lineRule="auto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6"/>
              </w:rPr>
              <w:t>・A期内に〔過去問〕2025_02_CFP05 の損益通算問題まで解き、止血の効果を検証する。</w:t>
            </w:r>
          </w:p>
        </w:tc>
      </w:tr>
    </w:tbl>
    <w:p>
      <w:pPr>
        <w:spacing w:before="80" w:after="20" w:line="240" w:lineRule="auto"/>
        <w:pBdr>
          <w:bottom w:val="single" w:sz="8" w:space="2" w:color="2E5A88"/>
        </w:pBdr>
      </w:pPr>
      <w:r>
        <w:rPr>
          <w:rFonts w:ascii="Hiragino Sans" w:hAnsi="Hiragino Sans" w:eastAsia="Hiragino Sans" w:cs="Hiragino Sans"/>
          <w:b/>
          <w:color w:val="2E5A88"/>
          <w:sz w:val="20"/>
        </w:rPr>
        <w:t>■ 弱点マトリックス（模試③分析・優先順）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6" w:type="dxa"/>
          <w:bottom w:w="6" w:type="dxa"/>
          <w:left w:w="55" w:type="dxa"/>
          <w:right w:w="55" w:type="dxa"/>
        </w:tblCellMar>
      </w:tblPr>
      <w:tblGrid>
        <w:gridCol w:w="2650"/>
        <w:gridCol w:w="2650"/>
        <w:gridCol w:w="2650"/>
        <w:gridCol w:w="2650"/>
      </w:tblGrid>
      <w:tr>
        <w:trPr>
          <w:trHeight w:val="226" w:hRule="atLeast"/>
        </w:trPr>
        <w:tc>
          <w:tcPr>
            <w:tcW w:type="dxa" w:w="879"/>
            <w:shd w:val="clear" w:color="auto" w:fill="2E5A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優先</w:t>
            </w:r>
          </w:p>
        </w:tc>
        <w:tc>
          <w:tcPr>
            <w:tcW w:type="dxa" w:w="2268"/>
            <w:shd w:val="clear" w:color="auto" w:fill="2E5A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細目</w:t>
            </w:r>
          </w:p>
        </w:tc>
        <w:tc>
          <w:tcPr>
            <w:tcW w:type="dxa" w:w="1389"/>
            <w:shd w:val="clear" w:color="auto" w:fill="2E5A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現状(3回目)</w:t>
            </w:r>
          </w:p>
        </w:tc>
        <w:tc>
          <w:tcPr>
            <w:tcW w:type="dxa" w:w="6066"/>
            <w:shd w:val="clear" w:color="auto" w:fill="2E5A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方針・配分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4C7C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最優先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法人税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67%↗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最大得点源（問16・★15）。B期2h＋C期2h。67→80%化で+1〜2問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4C7C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最優先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不動産所得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50%↘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本番最大リスク（問17・★6）。C期1.5h集中で安定化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CE3C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株式等譲渡所得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67%→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停滞打破。C期1h（総合課税譲渡と併せて）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CE3C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所得税額の計算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全★★★・計算の要。C期0.5hで総まとめ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CE3C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損益通算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0%↘↘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崩壊の即止血。A期2hで着手 → C期0.5h確認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BF1C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申告・納付／個人事業税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0%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基本論点。C期1hで+1〜2点を回収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D9E7D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維持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ライフ／所得控除／財務諸表 他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83–100%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深追い禁止。誤答した問だけ軽く見直し</w:t>
            </w:r>
          </w:p>
        </w:tc>
      </w:tr>
    </w:tbl>
    <w:p>
      <w:pPr>
        <w:spacing w:before="80" w:after="20" w:line="240" w:lineRule="auto"/>
        <w:pBdr>
          <w:bottom w:val="single" w:sz="8" w:space="2" w:color="2E5A88"/>
        </w:pBdr>
      </w:pPr>
      <w:r>
        <w:rPr>
          <w:rFonts w:ascii="Hiragino Sans" w:hAnsi="Hiragino Sans" w:eastAsia="Hiragino Sans" w:cs="Hiragino Sans"/>
          <w:b/>
          <w:color w:val="2E5A88"/>
          <w:sz w:val="20"/>
        </w:rPr>
        <w:t>■ フェーズ別 学習チェックリスト（☐ をチェックして進捗管理）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6" w:type="dxa"/>
          <w:bottom w:w="6" w:type="dxa"/>
          <w:left w:w="55" w:type="dxa"/>
          <w:right w:w="55" w:type="dxa"/>
        </w:tblCellMar>
      </w:tblPr>
      <w:tblGrid>
        <w:gridCol w:w="2650"/>
        <w:gridCol w:w="2650"/>
        <w:gridCol w:w="2650"/>
        <w:gridCol w:w="2650"/>
      </w:tblGrid>
      <w:tr>
        <w:trPr>
          <w:trHeight w:val="226" w:hRule="atLeast"/>
        </w:trPr>
        <w:tc>
          <w:tcPr>
            <w:tcW w:type="dxa" w:w="1219"/>
            <w:gridSpan w:val="4"/>
            <w:shd w:val="clear" w:color="auto" w:fill="2E5A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7"/>
              </w:rPr>
              <w:t>【フェーズA】5/22–5/31　テーマ：損益通算の止血　│　配分 2h（全2項目）</w:t>
            </w:r>
          </w:p>
        </w:tc>
      </w:tr>
      <w:tr>
        <w:trPr>
          <w:trHeight w:val="181" w:hRule="atLeast"/>
        </w:trPr>
        <w:tc>
          <w:tcPr>
            <w:tcW w:type="dxa" w:w="425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済</w:t>
            </w:r>
          </w:p>
        </w:tc>
        <w:tc>
          <w:tcPr>
            <w:tcW w:type="dxa" w:w="8277"/>
            <w:shd w:val="clear" w:color="auto" w:fill="EFEFE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やること（教材ページ・問番号）</w:t>
            </w:r>
          </w:p>
        </w:tc>
        <w:tc>
          <w:tcPr>
            <w:tcW w:type="dxa" w:w="680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目安</w:t>
            </w:r>
          </w:p>
        </w:tc>
        <w:tc>
          <w:tcPr>
            <w:tcW w:type="dxa" w:w="1219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完了日</w:t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損益通算 止血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問105–108・純損失問116–117／p126–136。0%崩壊の早期止血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5"/>
              </w:rPr>
              <w:t>1.0h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〔過去問〕2025_02_CFP05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損益通算の該当論点を解く→誤答復習（A期止血の定着検証）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5"/>
              </w:rPr>
              <w:t>1.0h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6" w:type="dxa"/>
          <w:bottom w:w="6" w:type="dxa"/>
          <w:left w:w="55" w:type="dxa"/>
          <w:right w:w="55" w:type="dxa"/>
        </w:tblCellMar>
      </w:tblPr>
      <w:tblGrid>
        <w:gridCol w:w="2650"/>
        <w:gridCol w:w="2650"/>
        <w:gridCol w:w="2650"/>
        <w:gridCol w:w="2650"/>
      </w:tblGrid>
      <w:tr>
        <w:trPr>
          <w:trHeight w:val="226" w:hRule="atLeast"/>
        </w:trPr>
        <w:tc>
          <w:tcPr>
            <w:tcW w:type="dxa" w:w="1219"/>
            <w:gridSpan w:val="4"/>
            <w:shd w:val="clear" w:color="auto" w:fill="2E5A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7"/>
              </w:rPr>
              <w:t>【フェーズB】6/1–6/13　テーマ：法人税の早期着手　│　配分 2h（全2項目）</w:t>
            </w:r>
          </w:p>
        </w:tc>
      </w:tr>
      <w:tr>
        <w:trPr>
          <w:trHeight w:val="181" w:hRule="atLeast"/>
        </w:trPr>
        <w:tc>
          <w:tcPr>
            <w:tcW w:type="dxa" w:w="425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済</w:t>
            </w:r>
          </w:p>
        </w:tc>
        <w:tc>
          <w:tcPr>
            <w:tcW w:type="dxa" w:w="8277"/>
            <w:shd w:val="clear" w:color="auto" w:fill="EFEFE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やること（教材ページ・問番号）</w:t>
            </w:r>
          </w:p>
        </w:tc>
        <w:tc>
          <w:tcPr>
            <w:tcW w:type="dxa" w:w="680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目安</w:t>
            </w:r>
          </w:p>
        </w:tc>
        <w:tc>
          <w:tcPr>
            <w:tcW w:type="dxa" w:w="1219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完了日</w:t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法人税 着手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問168–183の★★★／p178–186。配点最大・伸び盛りを先取り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5"/>
              </w:rPr>
              <w:t>1.0h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〔過去問〕2025_02_CFP05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法人税・不動産所得の該当論点を解く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5"/>
              </w:rPr>
              <w:t>1.0h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6" w:type="dxa"/>
          <w:bottom w:w="6" w:type="dxa"/>
          <w:left w:w="55" w:type="dxa"/>
          <w:right w:w="55" w:type="dxa"/>
        </w:tblCellMar>
      </w:tblPr>
      <w:tblGrid>
        <w:gridCol w:w="2650"/>
        <w:gridCol w:w="2650"/>
        <w:gridCol w:w="2650"/>
        <w:gridCol w:w="2650"/>
      </w:tblGrid>
      <w:tr>
        <w:trPr>
          <w:trHeight w:val="226" w:hRule="atLeast"/>
        </w:trPr>
        <w:tc>
          <w:tcPr>
            <w:tcW w:type="dxa" w:w="1219"/>
            <w:gridSpan w:val="4"/>
            <w:shd w:val="clear" w:color="auto" w:fill="2E5A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7"/>
              </w:rPr>
              <w:t>【フェーズC】6/15–6/20　テーマ：タックス全振り（中日ブースト）　│　配分 9h（全9項目）</w:t>
            </w:r>
          </w:p>
        </w:tc>
      </w:tr>
      <w:tr>
        <w:trPr>
          <w:trHeight w:val="181" w:hRule="atLeast"/>
        </w:trPr>
        <w:tc>
          <w:tcPr>
            <w:tcW w:type="dxa" w:w="425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済</w:t>
            </w:r>
          </w:p>
        </w:tc>
        <w:tc>
          <w:tcPr>
            <w:tcW w:type="dxa" w:w="8277"/>
            <w:shd w:val="clear" w:color="auto" w:fill="EFEFE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やること（教材ページ・問番号）</w:t>
            </w:r>
          </w:p>
        </w:tc>
        <w:tc>
          <w:tcPr>
            <w:tcW w:type="dxa" w:w="680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目安</w:t>
            </w:r>
          </w:p>
        </w:tc>
        <w:tc>
          <w:tcPr>
            <w:tcW w:type="dxa" w:w="1219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完了日</w:t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不動産所得 集中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問17–33／p54–65・★★★問20-29＋過去問。最大リスク50%を安定化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5"/>
              </w:rPr>
              <w:t>1.5h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法人税 仕上げ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問168–183／p178–186・ほぼ全★★★＋過去問。67→80%化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5"/>
              </w:rPr>
              <w:t>1.5h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株式等譲渡＋総合課税譲渡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問79–94／p107–118・★★★問79,80,83,84,88,92。停滞67%打破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5"/>
              </w:rPr>
              <w:t>1.0h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所得税額の計算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問109–113／p129–132（全★★★）。計算の総まとめ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損益通算 定着確認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A期の止血が効いているかを確認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取りこぼし回収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申告納付問134–138＋個人事業税の基本（事業主控除290万・税率5%）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5"/>
              </w:rPr>
              <w:t>1.0h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役員・法人取引 確認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問184–193 を軽く確認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試験2日目 時間配分の最終確認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50問の時間戦略を固める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〔本番形式〕2025_01_CFP05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6/20前後・120分の時間制限演習＋採点反省（2日目リハーサル）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5"/>
              </w:rPr>
              <w:t>2.0h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</w:tbl>
    <w:p>
      <w:pPr>
        <w:spacing w:before="80" w:after="20" w:line="240" w:lineRule="auto"/>
        <w:pBdr>
          <w:bottom w:val="single" w:sz="8" w:space="2" w:color="2E5A88"/>
        </w:pBdr>
      </w:pPr>
      <w:r>
        <w:rPr>
          <w:rFonts w:ascii="Hiragino Sans" w:hAnsi="Hiragino Sans" w:eastAsia="Hiragino Sans" w:cs="Hiragino Sans"/>
          <w:b/>
          <w:color w:val="2E5A88"/>
          <w:sz w:val="20"/>
        </w:rPr>
        <w:t>■ 注意・運用メモ</w:t>
      </w:r>
    </w:p>
    <w:p>
      <w:pPr>
        <w:spacing w:before="20" w:after="0" w:line="264" w:lineRule="auto"/>
      </w:pPr>
      <w:r>
        <w:rPr>
          <w:rFonts w:ascii="Hiragino Sans" w:hAnsi="Hiragino Sans" w:eastAsia="Hiragino Sans" w:cs="Hiragino Sans"/>
          <w:b w:val="0"/>
          <w:color w:val="444444"/>
          <w:sz w:val="16"/>
        </w:rPr>
        <w:t>・試験2日目（6/21）は推定。5/29受験票で日割り確定 → 2日目がタックスでない場合は配分を即組替。</w:t>
      </w:r>
    </w:p>
    <w:p>
      <w:pPr>
        <w:spacing w:before="20" w:after="0" w:line="264" w:lineRule="auto"/>
      </w:pPr>
      <w:r>
        <w:rPr>
          <w:rFonts w:ascii="Hiragino Sans" w:hAnsi="Hiragino Sans" w:eastAsia="Hiragino Sans" w:cs="Hiragino Sans"/>
          <w:b w:val="0"/>
          <w:color w:val="444444"/>
          <w:sz w:val="16"/>
        </w:rPr>
        <w:t>・C期の維持分野（ライフ／所得控除／財務諸表／給与／住宅ローン控除／譲渡土地建物／消費税／非居住者）は深追い禁止、誤答のみ見直し。</w:t>
      </w:r>
    </w:p>
    <w:p>
      <w:pPr>
        <w:spacing w:before="60" w:after="0" w:line="240" w:lineRule="auto"/>
      </w:pPr>
      <w:r>
        <w:rPr>
          <w:rFonts w:ascii="Hiragino Sans" w:hAnsi="Hiragino Sans" w:eastAsia="Hiragino Sans" w:cs="Hiragino Sans"/>
          <w:b w:val="0"/>
          <w:color w:val="999999"/>
          <w:sz w:val="13"/>
        </w:rPr>
        <w:t>出典：certifications/CFP/final-prep-2026.md（2026-05-22時点）　／　受験票到着（5/29）後に日割り・配分を要更新</w:t>
      </w:r>
    </w:p>
    <w:sectPr w:rsidR="00FC693F" w:rsidRPr="0006063C" w:rsidSect="00034616">
      <w:pgSz w:w="11906" w:h="16838"/>
      <w:pgMar w:top="567" w:right="652" w:bottom="397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 w:eastAsia="Hiragino Sans" w:cs="Hiragino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