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pBdr>
          <w:bottom w:val="single" w:sz="14" w:space="2" w:color="B5462E"/>
        </w:pBdr>
      </w:pPr>
      <w:r>
        <w:rPr>
          <w:rFonts w:ascii="Hiragino Sans" w:hAnsi="Hiragino Sans" w:eastAsia="Hiragino Sans" w:cs="Hiragino Sans"/>
          <w:b/>
          <w:color w:val="666666"/>
          <w:sz w:val="22"/>
        </w:rPr>
        <w:t>CFP® 第1回 最終準備シート</w:t>
      </w:r>
      <w:r>
        <w:rPr>
          <w:rFonts w:ascii="Hiragino Sans" w:hAnsi="Hiragino Sans" w:eastAsia="Hiragino Sans" w:cs="Hiragino Sans"/>
          <w:b w:val="0"/>
          <w:color w:val="666666"/>
          <w:sz w:val="22"/>
        </w:rPr>
        <w:t xml:space="preserve">　／　科目：</w:t>
      </w:r>
      <w:r>
        <w:rPr>
          <w:rFonts w:ascii="Hiragino Sans" w:hAnsi="Hiragino Sans" w:eastAsia="Hiragino Sans" w:cs="Hiragino Sans"/>
          <w:b/>
          <w:color w:val="B5462E"/>
          <w:sz w:val="30"/>
        </w:rPr>
        <w:t>ライフ</w:t>
      </w:r>
      <w:r>
        <w:rPr>
          <w:rFonts w:ascii="Hiragino Sans" w:hAnsi="Hiragino Sans" w:eastAsia="Hiragino Sans" w:cs="Hiragino Sans"/>
          <w:b w:val="0"/>
          <w:color w:val="666666"/>
          <w:sz w:val="17"/>
        </w:rPr>
        <w:t>（ライフプランニング・リタイアメントプランニング　★最重点分野）</w:t>
      </w:r>
    </w:p>
    <w:p>
      <w:pPr>
        <w:spacing w:before="40" w:after="0" w:line="264" w:lineRule="auto"/>
      </w:pPr>
      <w:r>
        <w:rPr>
          <w:rFonts w:ascii="Hiragino Sans" w:hAnsi="Hiragino Sans" w:eastAsia="Hiragino Sans" w:cs="Hiragino Sans"/>
          <w:b/>
          <w:color w:val="222222"/>
          <w:sz w:val="17"/>
        </w:rPr>
        <w:t>試験日：</w:t>
      </w:r>
      <w:r>
        <w:rPr>
          <w:rFonts w:ascii="Hiragino Sans" w:hAnsi="Hiragino Sans" w:eastAsia="Hiragino Sans" w:cs="Hiragino Sans"/>
          <w:b/>
          <w:color w:val="B5462E"/>
          <w:sz w:val="17"/>
        </w:rPr>
        <w:t xml:space="preserve">2026/6/14（日）・第1日目　</w:t>
      </w:r>
      <w:r>
        <w:rPr>
          <w:rFonts w:ascii="Hiragino Sans" w:hAnsi="Hiragino Sans" w:eastAsia="Hiragino Sans" w:cs="Hiragino Sans"/>
          <w:b w:val="0"/>
          <w:color w:val="222222"/>
          <w:sz w:val="17"/>
        </w:rPr>
        <w:t>（基準日 5/22・残り23日）</w:t>
      </w:r>
    </w:p>
    <w:p>
      <w:pPr>
        <w:spacing w:before="0" w:after="0" w:line="264" w:lineRule="auto"/>
      </w:pPr>
      <w:r>
        <w:rPr>
          <w:rFonts w:ascii="Hiragino Sans" w:hAnsi="Hiragino Sans" w:eastAsia="Hiragino Sans" w:cs="Hiragino Sans"/>
          <w:b w:val="0"/>
          <w:color w:val="222222"/>
          <w:sz w:val="16"/>
        </w:rPr>
        <w:t>現状 33/50（66%）　模試3回推移 19→28→33　│　目標 38–40/50（76–80%）　│　学習総枠 約17h（A8h＋B9h）── 3分野で最大配分</w:t>
      </w:r>
    </w:p>
    <w:p>
      <w:pPr>
        <w:spacing w:before="0" w:after="40" w:line="264" w:lineRule="auto"/>
      </w:pPr>
      <w:r>
        <w:rPr>
          <w:rFonts w:ascii="Hiragino Sans" w:hAnsi="Hiragino Sans" w:eastAsia="Hiragino Sans" w:cs="Hiragino Sans"/>
          <w:b/>
          <w:color w:val="666666"/>
          <w:sz w:val="15"/>
        </w:rPr>
        <w:t xml:space="preserve">全体の流れ： </w:t>
      </w:r>
      <w:r>
        <w:rPr>
          <w:rFonts w:ascii="Hiragino Sans" w:hAnsi="Hiragino Sans" w:eastAsia="Hiragino Sans" w:cs="Hiragino Sans"/>
          <w:b w:val="0"/>
          <w:color w:val="666666"/>
          <w:sz w:val="15"/>
        </w:rPr>
        <w:t>A期 5/22–5/31〔止血〕→ B期 6/1–6/13〔1日目分野〕→ ★試① 6/14〔不動産・ライフ〕→ C期 6/15–6/20〔タックス全振り〕→ ★試② 6/21〔タックス〕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5462E"/>
          <w:left w:val="single" w:sz="8" w:space="0" w:color="B5462E"/>
          <w:bottom w:val="single" w:sz="8" w:space="0" w:color="B5462E"/>
          <w:right w:val="single" w:sz="8" w:space="0" w:color="B5462E"/>
          <w:insideH w:val="single" w:sz="8" w:space="0" w:color="B5462E"/>
          <w:insideV w:val="single" w:sz="8" w:space="0" w:color="B5462E"/>
        </w:tblBorders>
        <w:tblCellMar>
          <w:top w:w="38" w:type="dxa"/>
          <w:bottom w:w="38" w:type="dxa"/>
          <w:left w:w="95" w:type="dxa"/>
          <w:right w:w="95" w:type="dxa"/>
        </w:tblCellMar>
      </w:tblPr>
      <w:tblGrid>
        <w:gridCol w:w="10602"/>
      </w:tblGrid>
      <w:tr>
        <w:tc>
          <w:tcPr>
            <w:tcW w:type="dxa" w:w="10602"/>
            <w:shd w:val="clear" w:color="auto" w:fill="F6E9E4"/>
          </w:tcPr>
          <w:p>
            <w:pPr>
              <w:spacing w:before="20" w:after="40" w:line="240" w:lineRule="auto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9"/>
              </w:rPr>
              <w:t>▶ 今やること ── フェーズA（5/22〜5/31）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・A期8h＝3分野で最大配分（最重点）。1.5h×8日相当 → 後ろ倒し厳禁、5/22から毎日着手。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・最優先は33%大悪化・配点6の「住宅取得・教育資金計画」。</w:t>
            </w:r>
          </w:p>
          <w:p>
            <w:pPr>
              <w:spacing w:before="0" w:after="20" w:line="252" w:lineRule="auto"/>
            </w:pPr>
            <w:r>
              <w:rPr>
                <w:rFonts w:ascii="Hiragino Sans" w:hAnsi="Hiragino Sans" w:eastAsia="Hiragino Sans" w:cs="Hiragino Sans"/>
                <w:b w:val="0"/>
                <w:color w:val="222222"/>
                <w:sz w:val="16"/>
              </w:rPr>
              <w:t>・まず着手 → 問題集 問32–34（教育一般貸付★★★）・問40–43（住宅ローン★★★）／p74–92。</w:t>
            </w:r>
          </w:p>
        </w:tc>
      </w:tr>
    </w:tbl>
    <w:p>
      <w:pPr>
        <w:spacing w:before="80" w:after="20" w:line="240" w:lineRule="auto"/>
        <w:pBdr>
          <w:bottom w:val="single" w:sz="8" w:space="2" w:color="B5462E"/>
        </w:pBdr>
      </w:pPr>
      <w:r>
        <w:rPr>
          <w:rFonts w:ascii="Hiragino Sans" w:hAnsi="Hiragino Sans" w:eastAsia="Hiragino Sans" w:cs="Hiragino Sans"/>
          <w:b/>
          <w:color w:val="B5462E"/>
          <w:sz w:val="20"/>
        </w:rPr>
        <w:t>■ 弱点マトリックス（模試③分析・優先順）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879"/>
            <w:shd w:val="clear" w:color="auto" w:fill="B5462E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優先</w:t>
            </w:r>
          </w:p>
        </w:tc>
        <w:tc>
          <w:tcPr>
            <w:tcW w:type="dxa" w:w="2268"/>
            <w:shd w:val="clear" w:color="auto" w:fill="B5462E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細目</w:t>
            </w:r>
          </w:p>
        </w:tc>
        <w:tc>
          <w:tcPr>
            <w:tcW w:type="dxa" w:w="1389"/>
            <w:shd w:val="clear" w:color="auto" w:fill="B5462E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現状(3回目)</w:t>
            </w:r>
          </w:p>
        </w:tc>
        <w:tc>
          <w:tcPr>
            <w:tcW w:type="dxa" w:w="6066"/>
            <w:shd w:val="clear" w:color="auto" w:fill="B5462E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6"/>
              </w:rPr>
              <w:t>方針・配分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4C7C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最優先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住宅取得・教育資金計画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33%↘ 大悪化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致命的盲点・配点6。A期3h＋B期2.5h（住宅ローン／教育一般貸付★★★）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4C7C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最優先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公的年金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71%↗ 改善中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最大配点7。A期2h＋B期2h（障害★★★・遺族★★★）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4C7C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最優先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働き方とその関連法令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67% 変動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配点最大9・要安定化。A期1h＋B期は社保と合算2h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リタイアメントプラン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50% 停滞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範囲広く取りこぼし。A期1h＋B期1h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ライフプランに関する情報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0%↘ 再悪化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配点2を確実回収。A期0.5h＋B期軽く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CE3C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優先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パーソナルファイナンス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67%↗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★★★密度75%。A期0.5h＋B期軽くで安定圏へ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FBF1C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社会保険の適用や給付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67%↗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配点6。B期で「働き方」と合算しあと一押し</w:t>
            </w:r>
          </w:p>
        </w:tc>
      </w:tr>
      <w:tr>
        <w:trPr>
          <w:trHeight w:val="249" w:hRule="atLeast"/>
        </w:trPr>
        <w:tc>
          <w:tcPr>
            <w:tcW w:type="dxa" w:w="879"/>
            <w:shd w:val="clear" w:color="auto" w:fill="D9E7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333333"/>
                <w:sz w:val="15"/>
              </w:rPr>
              <w:t>維持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1A1A1A"/>
                <w:sz w:val="15"/>
              </w:rPr>
              <w:t>FP倫理／協会けんぽ／企業年金 他</w:t>
            </w:r>
          </w:p>
        </w:tc>
        <w:tc>
          <w:tcPr>
            <w:tcW w:type="dxa" w:w="138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1A1A1A"/>
                <w:sz w:val="15"/>
              </w:rPr>
              <w:t>75–100%</w:t>
            </w:r>
          </w:p>
        </w:tc>
        <w:tc>
          <w:tcPr>
            <w:tcW w:type="dxa" w:w="606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 w:val="0"/>
                <w:color w:val="333333"/>
                <w:sz w:val="15"/>
              </w:rPr>
              <w:t>維持・深追い禁止</w:t>
            </w:r>
          </w:p>
        </w:tc>
      </w:tr>
    </w:tbl>
    <w:p>
      <w:pPr>
        <w:spacing w:before="80" w:after="20" w:line="240" w:lineRule="auto"/>
        <w:pBdr>
          <w:bottom w:val="single" w:sz="8" w:space="2" w:color="B5462E"/>
        </w:pBdr>
      </w:pPr>
      <w:r>
        <w:rPr>
          <w:rFonts w:ascii="Hiragino Sans" w:hAnsi="Hiragino Sans" w:eastAsia="Hiragino Sans" w:cs="Hiragino Sans"/>
          <w:b/>
          <w:color w:val="B5462E"/>
          <w:sz w:val="20"/>
        </w:rPr>
        <w:t>■ フェーズ別 学習チェックリスト（☐ をチェックして進捗管理）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1219"/>
            <w:gridSpan w:val="4"/>
            <w:shd w:val="clear" w:color="auto" w:fill="B5462E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7"/>
              </w:rPr>
              <w:t>【フェーズA】5/22–5/31　テーマ：崩壊論点の止血（最重点・最大配分）　│　配分 8h（全6項目）</w:t>
            </w:r>
          </w:p>
        </w:tc>
      </w:tr>
      <w:tr>
        <w:trPr>
          <w:trHeight w:val="181" w:hRule="atLeast"/>
        </w:trPr>
        <w:tc>
          <w:tcPr>
            <w:tcW w:type="dxa" w:w="425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済</w:t>
            </w:r>
          </w:p>
        </w:tc>
        <w:tc>
          <w:tcPr>
            <w:tcW w:type="dxa" w:w="8277"/>
            <w:shd w:val="clear" w:color="auto" w:fill="EFEFE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やること（教材ページ・問番号）</w:t>
            </w:r>
          </w:p>
        </w:tc>
        <w:tc>
          <w:tcPr>
            <w:tcW w:type="dxa" w:w="680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目安</w:t>
            </w:r>
          </w:p>
        </w:tc>
        <w:tc>
          <w:tcPr>
            <w:tcW w:type="dxa" w:w="1219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完了日</w:t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住宅取得・教育資金計画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問32–34教育一般貸付★★★・問40–43住宅ローン★★★・問57–58／p74–92。33%大悪化の止血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2.5h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公的年金 安定化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問142,143,147,148・問171–209★★★／p152–201。配点7・確実な+1問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働き方とその関連法令 安定化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問117–125／p135–138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リタイアメントプラン 回収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問90–95・問108–113／p114–130（取りこぼし回収）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情報＋パーソナルファイナンス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ライフプランに関する情報・パーソナルファイナンスの基本論点を回収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〔過去問〕2025_02_CFP03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住宅教育・年金・働き方の該当論点を抽出→解答→誤答復習（止血の定着検証）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2.5h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6" w:type="dxa"/>
          <w:bottom w:w="6" w:type="dxa"/>
          <w:left w:w="55" w:type="dxa"/>
          <w:right w:w="55" w:type="dxa"/>
        </w:tblCellMar>
      </w:tblPr>
      <w:tblGrid>
        <w:gridCol w:w="2650"/>
        <w:gridCol w:w="2650"/>
        <w:gridCol w:w="2650"/>
        <w:gridCol w:w="2650"/>
      </w:tblGrid>
      <w:tr>
        <w:trPr>
          <w:trHeight w:val="226" w:hRule="atLeast"/>
        </w:trPr>
        <w:tc>
          <w:tcPr>
            <w:tcW w:type="dxa" w:w="1219"/>
            <w:gridSpan w:val="4"/>
            <w:shd w:val="clear" w:color="auto" w:fill="B5462E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FFFFFF"/>
                <w:sz w:val="17"/>
              </w:rPr>
              <w:t>【フェーズB】6/1–6/13　テーマ：1日目分野の過去問集中　│　配分 9h（全7項目）</w:t>
            </w:r>
          </w:p>
        </w:tc>
      </w:tr>
      <w:tr>
        <w:trPr>
          <w:trHeight w:val="181" w:hRule="atLeast"/>
        </w:trPr>
        <w:tc>
          <w:tcPr>
            <w:tcW w:type="dxa" w:w="425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済</w:t>
            </w:r>
          </w:p>
        </w:tc>
        <w:tc>
          <w:tcPr>
            <w:tcW w:type="dxa" w:w="8277"/>
            <w:shd w:val="clear" w:color="auto" w:fill="EFEFEF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やること（教材ページ・問番号）</w:t>
            </w:r>
          </w:p>
        </w:tc>
        <w:tc>
          <w:tcPr>
            <w:tcW w:type="dxa" w:w="680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目安</w:t>
            </w:r>
          </w:p>
        </w:tc>
        <w:tc>
          <w:tcPr>
            <w:tcW w:type="dxa" w:w="1219"/>
            <w:shd w:val="clear" w:color="auto" w:fill="EFEF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555555"/>
                <w:sz w:val="14"/>
              </w:rPr>
              <w:t>完了日</w:t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住宅取得・教育資金計画 仕上げ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A期止血の定着確認＋過去問。33→55%目標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2.0h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公的年金 過去問演習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障害★★★問197–198・遺族★★★問206–207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働き方・社会保険 安定化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問117–148（配点合計15問）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リタイアメントプラン 過去問演習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範囲広い・★★中心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パーソナルファイナンス／情報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軽く確認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0.5h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〔過去問〕2025_02_CFP03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完全演習＋詳細復習（A期未消化分を含め通し演習）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  <w:tr>
        <w:trPr>
          <w:trHeight w:val="238" w:hRule="atLeast"/>
        </w:trPr>
        <w:tc>
          <w:tcPr>
            <w:tcW w:type="dxa" w:w="42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color w:val="444444"/>
                <w:sz w:val="24"/>
              </w:rPr>
              <w:t>☐</w:t>
            </w:r>
          </w:p>
        </w:tc>
        <w:tc>
          <w:tcPr>
            <w:tcW w:type="dxa" w:w="8277"/>
            <w:vAlign w:val="center"/>
          </w:tcPr>
          <w:p>
            <w:pPr>
              <w:spacing w:before="0" w:after="0" w:line="250" w:lineRule="auto"/>
            </w:pPr>
            <w:r>
              <w:rPr>
                <w:rFonts w:ascii="Hiragino Sans" w:hAnsi="Hiragino Sans" w:eastAsia="Hiragino Sans" w:cs="Hiragino Sans"/>
                <w:b/>
                <w:color w:val="111111"/>
                <w:sz w:val="15"/>
              </w:rPr>
              <w:t xml:space="preserve">〔本番形式〕2025_01_CFP03　</w:t>
            </w:r>
            <w:r>
              <w:rPr>
                <w:rFonts w:ascii="Hiragino Sans" w:hAnsi="Hiragino Sans" w:eastAsia="Hiragino Sans" w:cs="Hiragino Sans"/>
                <w:b w:val="0"/>
                <w:color w:val="3A3A3A"/>
                <w:sz w:val="15"/>
              </w:rPr>
              <w:t>6/7前後・120分の時間制限演習＋採点反省（1日目リハーサル）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/>
                <w:color w:val="B5462E"/>
                <w:sz w:val="15"/>
              </w:rPr>
              <w:t>1.5h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" w:hAnsi="Hiragino Sans" w:eastAsia="Hiragino Sans" w:cs="Hiragino Sans"/>
                <w:b w:val="0"/>
                <w:sz w:val="15"/>
              </w:rPr>
            </w:r>
          </w:p>
        </w:tc>
      </w:tr>
    </w:tbl>
    <w:p>
      <w:pPr>
        <w:spacing w:before="80" w:after="20" w:line="240" w:lineRule="auto"/>
        <w:pBdr>
          <w:bottom w:val="single" w:sz="8" w:space="2" w:color="B5462E"/>
        </w:pBdr>
      </w:pPr>
      <w:r>
        <w:rPr>
          <w:rFonts w:ascii="Hiragino Sans" w:hAnsi="Hiragino Sans" w:eastAsia="Hiragino Sans" w:cs="Hiragino Sans"/>
          <w:b/>
          <w:color w:val="B5462E"/>
          <w:sz w:val="20"/>
        </w:rPr>
        <w:t>■ 注意・運用メモ</w:t>
      </w:r>
    </w:p>
    <w:p>
      <w:pPr>
        <w:spacing w:before="20" w:after="0" w:line="264" w:lineRule="auto"/>
      </w:pPr>
      <w:r>
        <w:rPr>
          <w:rFonts w:ascii="Hiragino Sans" w:hAnsi="Hiragino Sans" w:eastAsia="Hiragino Sans" w:cs="Hiragino Sans"/>
          <w:b w:val="0"/>
          <w:color w:val="444444"/>
          <w:sz w:val="16"/>
        </w:rPr>
        <w:t>・試験1日目（6/14）は推定。5/29受験票で日割り確定。</w:t>
      </w:r>
    </w:p>
    <w:p>
      <w:pPr>
        <w:spacing w:before="20" w:after="0" w:line="264" w:lineRule="auto"/>
      </w:pPr>
      <w:r>
        <w:rPr>
          <w:rFonts w:ascii="Hiragino Sans" w:hAnsi="Hiragino Sans" w:eastAsia="Hiragino Sans" w:cs="Hiragino Sans"/>
          <w:b w:val="0"/>
          <w:color w:val="444444"/>
          <w:sz w:val="16"/>
        </w:rPr>
        <w:t>・最苦手・配点最大の最重点分野。A期8hが遅れると全体が押し出る。維持分野（FP倫理／協会けんぽ／中小資金／企業年金）は深追い禁止。</w:t>
      </w:r>
    </w:p>
    <w:p>
      <w:pPr>
        <w:spacing w:before="60" w:after="0" w:line="240" w:lineRule="auto"/>
      </w:pPr>
      <w:r>
        <w:rPr>
          <w:rFonts w:ascii="Hiragino Sans" w:hAnsi="Hiragino Sans" w:eastAsia="Hiragino Sans" w:cs="Hiragino Sans"/>
          <w:b w:val="0"/>
          <w:color w:val="999999"/>
          <w:sz w:val="13"/>
        </w:rPr>
        <w:t>出典：certifications/CFP/final-prep-2026.md（2026-05-22時点）　／　受験票到着（5/29）後に日割り・配分を要更新</w:t>
      </w:r>
    </w:p>
    <w:sectPr w:rsidR="00FC693F" w:rsidRPr="0006063C" w:rsidSect="00034616">
      <w:pgSz w:w="11906" w:h="16838"/>
      <w:pgMar w:top="567" w:right="652" w:bottom="39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 w:cs="Hiragin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