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Play" w:cs="Play" w:eastAsia="Play" w:hAnsi="Play"/>
          <w:b w:val="1"/>
          <w:bCs w:val="1"/>
          <w:color w:val="16a3b6"/>
          <w:sz w:val="28"/>
          <w:szCs w:val="28"/>
          <w:rtl w:val="0"/>
        </w:rPr>
        <w:t xml:space="preserve">SCALE-AWARE OPTIMIZATION</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DoRA magnitude and gain parameters under fixed-step or normalized optimizers</w:t>
      </w:r>
    </w:p>
    <w:p w:rsidR="00000000" w:rsidDel="00000000" w:rsidP="00000000" w:rsidRDefault="00000000" w:rsidRPr="00000000" w14:paraId="00000003">
      <w:pPr>
        <w:jc w:val="center"/>
        <w:rPr/>
      </w:pPr>
      <w:r w:rsidDel="00000000" w:rsidR="00000000" w:rsidRPr="00000000">
        <w:rPr>
          <w:i w:val="1"/>
          <w:iCs w:val="1"/>
          <w:color w:val="486581"/>
          <w:sz w:val="26"/>
          <w:szCs w:val="26"/>
          <w:rtl w:val="0"/>
        </w:rPr>
        <w:t xml:space="preserve">Source-auditable technical research note</w:t>
      </w:r>
      <w:r w:rsidDel="00000000" w:rsidR="00000000" w:rsidRPr="00000000">
        <w:rPr>
          <w:rtl w:val="0"/>
        </w:rPr>
      </w:r>
    </w:p>
    <w:tbl>
      <w:tblPr>
        <w:tblStyle w:val="Table1"/>
        <w:tblW w:w="8496.0" w:type="dxa"/>
        <w:jc w:val="center"/>
        <w:tblLayout w:type="fixed"/>
        <w:tblLook w:val="0400"/>
      </w:tblPr>
      <w:tblGrid>
        <w:gridCol w:w="8496"/>
        <w:tblGridChange w:id="0">
          <w:tblGrid>
            <w:gridCol w:w="8496"/>
          </w:tblGrid>
        </w:tblGridChange>
      </w:tblGrid>
      <w:tr>
        <w:trPr>
          <w:cantSplit w:val="0"/>
          <w:tblHeader w:val="0"/>
        </w:trPr>
        <w:tc>
          <w:tcPr>
            <w:shd w:fill="e8f6f8" w:val="clear"/>
            <w:tcMar>
              <w:top w:w="180.0" w:type="dxa"/>
              <w:bottom w:w="180.0" w:type="dxa"/>
            </w:tcMar>
            <w:vAlign w:val="center"/>
          </w:tcPr>
          <w:p w:rsidR="00000000" w:rsidDel="00000000" w:rsidP="00000000" w:rsidRDefault="00000000" w:rsidRPr="00000000" w14:paraId="00000004">
            <w:pPr>
              <w:spacing w:after="0" w:line="252.00000000000003" w:lineRule="auto"/>
              <w:rPr/>
            </w:pPr>
            <w:r w:rsidDel="00000000" w:rsidR="00000000" w:rsidRPr="00000000">
              <w:rPr>
                <w:rFonts w:ascii="Aptos" w:cs="Aptos" w:eastAsia="Aptos" w:hAnsi="Aptos"/>
                <w:b w:val="0"/>
                <w:bCs w:val="0"/>
                <w:color w:val="123b4a"/>
                <w:sz w:val="20"/>
                <w:szCs w:val="20"/>
                <w:rtl w:val="0"/>
              </w:rPr>
              <w:t xml:space="preserve">Scope: multiplicative magnitude/gain/scale parameters when the optimizer produces fixed-size, sign, normalized, or trust-ratio updates. Evidence labels distinguish direct source statements from transfer to DoRA by inference.</w:t>
            </w:r>
            <w:r w:rsidDel="00000000" w:rsidR="00000000" w:rsidRPr="00000000">
              <w:rPr>
                <w:rtl w:val="0"/>
              </w:rPr>
            </w:r>
          </w:p>
        </w:tc>
      </w:tr>
    </w:tbl>
    <w:p w:rsidR="00000000" w:rsidDel="00000000" w:rsidP="00000000" w:rsidRDefault="00000000" w:rsidRPr="00000000" w14:paraId="00000005">
      <w:pPr>
        <w:jc w:val="center"/>
        <w:rPr/>
      </w:pPr>
      <w:r w:rsidDel="00000000" w:rsidR="00000000" w:rsidRPr="00000000">
        <w:rPr>
          <w:rtl w:val="0"/>
        </w:rPr>
        <w:t xml:space="preserve">Prepared 23 September 2026</w:t>
      </w:r>
    </w:p>
    <w:p w:rsidR="00000000" w:rsidDel="00000000" w:rsidP="00000000" w:rsidRDefault="00000000" w:rsidRPr="00000000" w14:paraId="00000006">
      <w:pPr>
        <w:jc w:val="center"/>
        <w:rPr/>
      </w:pPr>
      <w:r w:rsidDel="00000000" w:rsidR="00000000" w:rsidRPr="00000000">
        <w:rPr>
          <w:color w:val="627d98"/>
          <w:sz w:val="18"/>
          <w:szCs w:val="18"/>
          <w:rtl w:val="0"/>
        </w:rPr>
        <w:t xml:space="preserve">Technical context: 1.4B rectified-flow audio diffusion transformer; DoRA rank 128; 229 adapted linear layers.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Executive summary</w:t>
      </w:r>
    </w:p>
    <w:p w:rsidR="00000000" w:rsidDel="00000000" w:rsidP="00000000" w:rsidRDefault="00000000" w:rsidRPr="00000000" w14:paraId="00000009">
      <w:pPr>
        <w:rPr/>
      </w:pPr>
      <w:r w:rsidDel="00000000" w:rsidR="00000000" w:rsidRPr="00000000">
        <w:rPr>
          <w:b w:val="1"/>
          <w:bCs w:val="1"/>
          <w:color w:val="0b6477"/>
          <w:rtl w:val="0"/>
        </w:rPr>
        <w:t xml:space="preserve">Finding 1 — direct DoRA-specific evidence is sparse.</w:t>
      </w:r>
      <w:r w:rsidDel="00000000" w:rsidR="00000000" w:rsidRPr="00000000">
        <w:rPr>
          <w:rtl w:val="0"/>
        </w:rPr>
        <w:t xml:space="preserve"> The strongest source-backed mechanisms are mostly general optimization or constrained-parameter methods. Their application to DoRA magnitude vectors must therefore be labelled as inference unless the cited source explicitly evaluates DoRA.</w:t>
      </w:r>
    </w:p>
    <w:p w:rsidR="00000000" w:rsidDel="00000000" w:rsidP="00000000" w:rsidRDefault="00000000" w:rsidRPr="00000000" w14:paraId="0000000A">
      <w:pPr>
        <w:rPr/>
      </w:pPr>
      <w:r w:rsidDel="00000000" w:rsidR="00000000" w:rsidRPr="00000000">
        <w:rPr>
          <w:b w:val="1"/>
          <w:bCs w:val="1"/>
          <w:color w:val="0b6477"/>
          <w:rtl w:val="0"/>
        </w:rPr>
        <w:t xml:space="preserve">Finding 2 — positivity and scale relativity solve different parts of the failure.</w:t>
      </w:r>
      <w:r w:rsidDel="00000000" w:rsidR="00000000" w:rsidRPr="00000000">
        <w:rPr>
          <w:rtl w:val="0"/>
        </w:rPr>
        <w:t xml:space="preserve"> A positive parameterization prevents sign crossing. A relative/trust-ratio update controls the step-to-parameter ratio. Either can be used alone, but the measured failure mode motivates treating both properties explicitly.</w:t>
      </w:r>
    </w:p>
    <w:p w:rsidR="00000000" w:rsidDel="00000000" w:rsidP="00000000" w:rsidRDefault="00000000" w:rsidRPr="00000000" w14:paraId="0000000B">
      <w:pPr>
        <w:rPr/>
      </w:pPr>
      <w:r w:rsidDel="00000000" w:rsidR="00000000" w:rsidRPr="00000000">
        <w:rPr>
          <w:b w:val="1"/>
          <w:bCs w:val="1"/>
          <w:color w:val="0b6477"/>
          <w:rtl w:val="0"/>
        </w:rPr>
        <w:t xml:space="preserve">Finding 3 — early freedom and late stability need an explicit schedule.</w:t>
      </w:r>
      <w:r w:rsidDel="00000000" w:rsidR="00000000" w:rsidRPr="00000000">
        <w:rPr>
          <w:rtl w:val="0"/>
        </w:rPr>
        <w:t xml:space="preserve"> A separate magnitude parameter group can use an initially permissive learning rate followed by decay or freezing. This is operationally simple, but the reviewed evidence does not establish a universal transition point for DoRA or audio diffusion.</w:t>
      </w:r>
    </w:p>
    <w:p w:rsidR="00000000" w:rsidDel="00000000" w:rsidP="00000000" w:rsidRDefault="00000000" w:rsidRPr="00000000" w14:paraId="0000000C">
      <w:pPr>
        <w:pStyle w:val="Heading2"/>
        <w:rPr/>
      </w:pPr>
      <w:r w:rsidDel="00000000" w:rsidR="00000000" w:rsidRPr="00000000">
        <w:rPr>
          <w:rtl w:val="0"/>
        </w:rPr>
        <w:t xml:space="preserve">Evidence boundary</w:t>
      </w:r>
    </w:p>
    <w:p w:rsidR="00000000" w:rsidDel="00000000" w:rsidP="00000000" w:rsidRDefault="00000000" w:rsidRPr="00000000" w14:paraId="0000000D">
      <w:pPr>
        <w:rPr/>
      </w:pPr>
      <w:r w:rsidDel="00000000" w:rsidR="00000000" w:rsidRPr="00000000">
        <w:rPr>
          <w:b w:val="1"/>
          <w:bCs w:val="1"/>
          <w:rtl w:val="0"/>
        </w:rPr>
        <w:t xml:space="preserve">Authoritative boundary. </w:t>
      </w:r>
      <w:r w:rsidDel="00000000" w:rsidR="00000000" w:rsidRPr="00000000">
        <w:rPr>
          <w:rtl w:val="0"/>
        </w:rPr>
        <w:t xml:space="preserve">The indexed conversation and saved brief establish the measured run facts and requested evidence standard. The exact body of the earlier deep-research answer was not exposed in the retrievable conversation export. Consequently, this document preserves the recoverable findings and method families, but it does not invent missing paper identifiers, quotations, line numbers, or benchmark results. Where an exact location could not be recovered, the table says “not recovered / not found.”</w:t>
      </w:r>
    </w:p>
    <w:p w:rsidR="00000000" w:rsidDel="00000000" w:rsidP="00000000" w:rsidRDefault="00000000" w:rsidRPr="00000000" w14:paraId="0000000E">
      <w:pPr>
        <w:pStyle w:val="Heading1"/>
        <w:rPr/>
      </w:pPr>
      <w:r w:rsidDel="00000000" w:rsidR="00000000" w:rsidRPr="00000000">
        <w:rPr>
          <w:rtl w:val="0"/>
        </w:rPr>
        <w:t xml:space="preserve">2. Measured context and failure signature</w:t>
      </w:r>
    </w:p>
    <w:p w:rsidR="00000000" w:rsidDel="00000000" w:rsidP="00000000" w:rsidRDefault="00000000" w:rsidRPr="00000000" w14:paraId="0000000F">
      <w:pPr>
        <w:rPr/>
      </w:pPr>
      <w:r w:rsidDel="00000000" w:rsidR="00000000" w:rsidRPr="00000000">
        <w:rPr>
          <w:rtl w:val="0"/>
        </w:rPr>
        <w:t xml:space="preserve">DoRA reparameterization used in the run: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360" w:right="216" w:firstLine="0"/>
        <w:jc w:val="left"/>
        <w:rPr>
          <w:rFonts w:ascii="Cambria Math" w:cs="Cambria Math" w:eastAsia="Cambria Math" w:hAnsi="Cambria Math"/>
          <w:b w:val="0"/>
          <w:bCs w:val="0"/>
          <w:i w:val="0"/>
          <w:iCs w:val="0"/>
          <w:smallCaps w:val="0"/>
          <w:strike w:val="0"/>
          <w:color w:val="102a43"/>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02a43"/>
          <w:sz w:val="20"/>
          <w:szCs w:val="20"/>
          <w:u w:val="none"/>
          <w:shd w:fill="auto" w:val="clear"/>
          <w:vertAlign w:val="baseline"/>
          <w:rtl w:val="0"/>
        </w:rPr>
        <w:t xml:space="preserve">W' = m ⊙ (W₀ + sBA) / ‖W₀ + sBA‖row</w:t>
      </w:r>
    </w:p>
    <w:p w:rsidR="00000000" w:rsidDel="00000000" w:rsidP="00000000" w:rsidRDefault="00000000" w:rsidRPr="00000000" w14:paraId="00000011">
      <w:pPr>
        <w:rPr/>
      </w:pPr>
      <w:r w:rsidDel="00000000" w:rsidR="00000000" w:rsidRPr="00000000">
        <w:rPr>
          <w:rtl w:val="0"/>
        </w:rPr>
        <w:t xml:space="preserve">Update applied to every 1-D parameter, including each DoRA magnitude vector: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360" w:right="216" w:firstLine="0"/>
        <w:jc w:val="left"/>
        <w:rPr>
          <w:rFonts w:ascii="Cambria Math" w:cs="Cambria Math" w:eastAsia="Cambria Math" w:hAnsi="Cambria Math"/>
          <w:b w:val="0"/>
          <w:bCs w:val="0"/>
          <w:i w:val="0"/>
          <w:iCs w:val="0"/>
          <w:smallCaps w:val="0"/>
          <w:strike w:val="0"/>
          <w:color w:val="102a43"/>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02a43"/>
          <w:sz w:val="20"/>
          <w:szCs w:val="20"/>
          <w:u w:val="none"/>
          <w:shd w:fill="auto" w:val="clear"/>
          <w:vertAlign w:val="baseline"/>
          <w:rtl w:val="0"/>
        </w:rPr>
        <w:t xml:space="preserve">mₜ₊₁ = mₜ − η sign(momentumₜ),  with η = 6 × 10⁻⁴ after warm-up</w:t>
      </w:r>
    </w:p>
    <w:p w:rsidR="00000000" w:rsidDel="00000000" w:rsidP="00000000" w:rsidRDefault="00000000" w:rsidRPr="00000000" w14:paraId="00000013">
      <w:pPr>
        <w:rPr/>
      </w:pPr>
      <w:r w:rsidDel="00000000" w:rsidR="00000000" w:rsidRPr="00000000">
        <w:rPr>
          <w:rtl w:val="0"/>
        </w:rPr>
        <w:t xml:space="preserve">The accumulated absolute step budget over roughly 6,000 post-warm-up steps is of order 3.6, much larger than the initial magnitudes of the affected global-conditioning rows. This comparison is a measured-run diagnostic, not a general convergence claim.</w:t>
      </w:r>
    </w:p>
    <w:tbl>
      <w:tblPr>
        <w:tblStyle w:val="Table2"/>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0b6477" w:val="clear"/>
            <w:tcMar>
              <w:top w:w="90.0" w:type="dxa"/>
              <w:bottom w:w="90.0" w:type="dxa"/>
            </w:tcMar>
            <w:vAlign w:val="center"/>
          </w:tcPr>
          <w:p w:rsidR="00000000" w:rsidDel="00000000" w:rsidP="00000000" w:rsidRDefault="00000000" w:rsidRPr="00000000" w14:paraId="00000014">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shd w:fill="0b6477" w:val="clear"/>
            <w:tcMar>
              <w:top w:w="90.0" w:type="dxa"/>
              <w:bottom w:w="90.0" w:type="dxa"/>
            </w:tcMar>
            <w:vAlign w:val="center"/>
          </w:tcPr>
          <w:p w:rsidR="00000000" w:rsidDel="00000000" w:rsidP="00000000" w:rsidRDefault="00000000" w:rsidRPr="00000000" w14:paraId="00000015">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Mean |m| at initialization</w:t>
            </w:r>
            <w:r w:rsidDel="00000000" w:rsidR="00000000" w:rsidRPr="00000000">
              <w:rPr>
                <w:rtl w:val="0"/>
              </w:rPr>
            </w:r>
          </w:p>
        </w:tc>
        <w:tc>
          <w:tcPr>
            <w:shd w:fill="0b6477" w:val="clear"/>
            <w:tcMar>
              <w:top w:w="90.0" w:type="dxa"/>
              <w:bottom w:w="90.0" w:type="dxa"/>
            </w:tcMar>
            <w:vAlign w:val="center"/>
          </w:tcPr>
          <w:p w:rsidR="00000000" w:rsidDel="00000000" w:rsidP="00000000" w:rsidRDefault="00000000" w:rsidRPr="00000000" w14:paraId="00000016">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Worst row-relative change, steps 1268→6340</w:t>
            </w:r>
            <w:r w:rsidDel="00000000" w:rsidR="00000000" w:rsidRPr="00000000">
              <w:rPr>
                <w:rtl w:val="0"/>
              </w:rPr>
            </w:r>
          </w:p>
        </w:tc>
        <w:tc>
          <w:tcPr>
            <w:shd w:fill="0b6477" w:val="clear"/>
            <w:tcMar>
              <w:top w:w="90.0" w:type="dxa"/>
              <w:bottom w:w="90.0" w:type="dxa"/>
            </w:tcMar>
            <w:vAlign w:val="center"/>
          </w:tcPr>
          <w:p w:rsidR="00000000" w:rsidDel="00000000" w:rsidP="00000000" w:rsidRDefault="00000000" w:rsidRPr="00000000" w14:paraId="00000017">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Rows with m ≤ 0 at step 6340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8">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to_global_embed.0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9">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0.13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A">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40,000×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B">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592</w:t>
            </w:r>
            <w:r w:rsidDel="00000000" w:rsidR="00000000" w:rsidRPr="00000000">
              <w:rPr>
                <w:rtl w:val="0"/>
              </w:rPr>
            </w:r>
          </w:p>
        </w:tc>
      </w:tr>
      <w:tr>
        <w:trPr>
          <w:cantSplit w:val="0"/>
          <w:tblHeader w:val="0"/>
        </w:trPr>
        <w:tc>
          <w:tcPr>
            <w:shd w:fill="f3f7fa" w:val="clear"/>
            <w:tcMar>
              <w:top w:w="90.0" w:type="dxa"/>
              <w:bottom w:w="90.0" w:type="dxa"/>
            </w:tcMar>
            <w:vAlign w:val="center"/>
          </w:tcPr>
          <w:p w:rsidR="00000000" w:rsidDel="00000000" w:rsidP="00000000" w:rsidRDefault="00000000" w:rsidRPr="00000000" w14:paraId="0000001C">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to_global_embed.2</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1D">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0.18</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1E">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562×</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1F">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78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0">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global_cond_embedder.0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1">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0.45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2">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289×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3">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77</w:t>
            </w:r>
            <w:r w:rsidDel="00000000" w:rsidR="00000000" w:rsidRPr="00000000">
              <w:rPr>
                <w:rtl w:val="0"/>
              </w:rPr>
            </w:r>
          </w:p>
        </w:tc>
      </w:tr>
      <w:tr>
        <w:trPr>
          <w:cantSplit w:val="0"/>
          <w:tblHeader w:val="0"/>
        </w:trPr>
        <w:tc>
          <w:tcPr>
            <w:shd w:fill="f3f7fa" w:val="clear"/>
            <w:tcMar>
              <w:top w:w="90.0" w:type="dxa"/>
              <w:bottom w:w="90.0" w:type="dxa"/>
            </w:tcMar>
            <w:vAlign w:val="center"/>
          </w:tcPr>
          <w:p w:rsidR="00000000" w:rsidDel="00000000" w:rsidP="00000000" w:rsidRDefault="00000000" w:rsidRPr="00000000" w14:paraId="00000024">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to_timestep_embed.2</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25">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0.14</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26">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12×</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27">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18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8">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Transformer attention / FFN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9">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~2.4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 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B">
            <w:pPr>
              <w:spacing w:after="0" w:line="252.00000000000003" w:lineRule="auto"/>
              <w:rPr/>
            </w:pPr>
            <w:r w:rsidDel="00000000" w:rsidR="00000000" w:rsidRPr="00000000">
              <w:rPr>
                <w:rFonts w:ascii="Aptos" w:cs="Aptos" w:eastAsia="Aptos" w:hAnsi="Aptos"/>
                <w:b w:val="0"/>
                <w:bCs w:val="0"/>
                <w:color w:val="1f2937"/>
                <w:sz w:val="16"/>
                <w:szCs w:val="16"/>
                <w:rtl w:val="0"/>
              </w:rPr>
              <w:t xml:space="preserve">~0</w:t>
            </w:r>
            <w:r w:rsidDel="00000000" w:rsidR="00000000" w:rsidRPr="00000000">
              <w:rPr>
                <w:rtl w:val="0"/>
              </w:rPr>
            </w:r>
          </w:p>
        </w:tc>
      </w:tr>
    </w:tbl>
    <w:p w:rsidR="00000000" w:rsidDel="00000000" w:rsidP="00000000" w:rsidRDefault="00000000" w:rsidRPr="00000000" w14:paraId="0000002C">
      <w:pPr>
        <w:rPr/>
        <w:sectPr>
          <w:headerReference r:id="rId6" w:type="default"/>
          <w:footerReference r:id="rId7" w:type="default"/>
          <w:pgSz w:h="15840" w:w="12240" w:orient="portrait"/>
          <w:pgMar w:bottom="936" w:top="1008" w:left="1123" w:right="1123" w:header="720" w:footer="720"/>
          <w:pgNumType w:start="1"/>
        </w:sect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3. Main evidence table</w:t>
      </w:r>
    </w:p>
    <w:p w:rsidR="00000000" w:rsidDel="00000000" w:rsidP="00000000" w:rsidRDefault="00000000" w:rsidRPr="00000000" w14:paraId="0000002E">
      <w:pPr>
        <w:rPr/>
      </w:pPr>
      <w:r w:rsidDel="00000000" w:rsidR="00000000" w:rsidRPr="00000000">
        <w:rPr>
          <w:rtl w:val="0"/>
        </w:rPr>
        <w:t xml:space="preserve">Legend: “Direct” means the source itself evaluates the indicated setting. “Inference” means the update rule is source-backed but transfer to DoRA magnitudes is not directly evaluated. Empty direct-evidence cells are intentional.</w:t>
      </w:r>
    </w:p>
    <w:tbl>
      <w:tblPr>
        <w:tblStyle w:val="Table3"/>
        <w:tblW w:w="139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880"/>
        <w:gridCol w:w="3744"/>
        <w:gridCol w:w="1037"/>
        <w:gridCol w:w="1037"/>
        <w:gridCol w:w="1512"/>
        <w:gridCol w:w="1944"/>
        <w:tblGridChange w:id="0">
          <w:tblGrid>
            <w:gridCol w:w="1800"/>
            <w:gridCol w:w="2880"/>
            <w:gridCol w:w="3744"/>
            <w:gridCol w:w="1037"/>
            <w:gridCol w:w="1037"/>
            <w:gridCol w:w="1512"/>
            <w:gridCol w:w="1944"/>
          </w:tblGrid>
        </w:tblGridChange>
      </w:tblGrid>
      <w:tr>
        <w:trPr>
          <w:cantSplit w:val="0"/>
          <w:tblHeader w:val="1"/>
        </w:trPr>
        <w:tc>
          <w:tcPr>
            <w:shd w:fill="0b6477" w:val="clear"/>
            <w:tcMar>
              <w:top w:w="70.0" w:type="dxa"/>
              <w:bottom w:w="70.0" w:type="dxa"/>
            </w:tcMar>
            <w:vAlign w:val="center"/>
          </w:tcPr>
          <w:p w:rsidR="00000000" w:rsidDel="00000000" w:rsidP="00000000" w:rsidRDefault="00000000" w:rsidRPr="00000000" w14:paraId="0000002F">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Method</w:t>
            </w:r>
            <w:r w:rsidDel="00000000" w:rsidR="00000000" w:rsidRPr="00000000">
              <w:rPr>
                <w:rtl w:val="0"/>
              </w:rPr>
            </w:r>
          </w:p>
        </w:tc>
        <w:tc>
          <w:tcPr>
            <w:shd w:fill="0b6477" w:val="clear"/>
            <w:tcMar>
              <w:top w:w="70.0" w:type="dxa"/>
              <w:bottom w:w="7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Source (ID + exact location)</w:t>
            </w:r>
            <w:r w:rsidDel="00000000" w:rsidR="00000000" w:rsidRPr="00000000">
              <w:rPr>
                <w:rtl w:val="0"/>
              </w:rPr>
            </w:r>
          </w:p>
        </w:tc>
        <w:tc>
          <w:tcPr>
            <w:shd w:fill="0b6477" w:val="clear"/>
            <w:tcMar>
              <w:top w:w="70.0" w:type="dxa"/>
              <w:bottom w:w="70.0" w:type="dxa"/>
            </w:tcMar>
            <w:vAlign w:val="center"/>
          </w:tcPr>
          <w:p w:rsidR="00000000" w:rsidDel="00000000" w:rsidP="00000000" w:rsidRDefault="00000000" w:rsidRPr="00000000" w14:paraId="00000031">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Update rule / quote</w:t>
            </w:r>
            <w:r w:rsidDel="00000000" w:rsidR="00000000" w:rsidRPr="00000000">
              <w:rPr>
                <w:rtl w:val="0"/>
              </w:rPr>
            </w:r>
          </w:p>
        </w:tc>
        <w:tc>
          <w:tcPr>
            <w:shd w:fill="0b6477" w:val="clear"/>
            <w:tcMar>
              <w:top w:w="70.0" w:type="dxa"/>
              <w:bottom w:w="7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DoRA?</w:t>
            </w:r>
            <w:r w:rsidDel="00000000" w:rsidR="00000000" w:rsidRPr="00000000">
              <w:rPr>
                <w:rtl w:val="0"/>
              </w:rPr>
            </w:r>
          </w:p>
        </w:tc>
        <w:tc>
          <w:tcPr>
            <w:shd w:fill="0b6477" w:val="clear"/>
            <w:tcMar>
              <w:top w:w="70.0" w:type="dxa"/>
              <w:bottom w:w="7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Diffusion?</w:t>
            </w:r>
            <w:r w:rsidDel="00000000" w:rsidR="00000000" w:rsidRPr="00000000">
              <w:rPr>
                <w:rtl w:val="0"/>
              </w:rPr>
            </w:r>
          </w:p>
        </w:tc>
        <w:tc>
          <w:tcPr>
            <w:shd w:fill="0b6477" w:val="clear"/>
            <w:tcMar>
              <w:top w:w="70.0" w:type="dxa"/>
              <w:bottom w:w="70.0" w:type="dxa"/>
            </w:tcMar>
            <w:vAlign w:val="center"/>
          </w:tcPr>
          <w:p w:rsidR="00000000" w:rsidDel="00000000" w:rsidP="00000000" w:rsidRDefault="00000000" w:rsidRPr="00000000" w14:paraId="00000034">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Sign / normalized optimizer?</w:t>
            </w:r>
            <w:r w:rsidDel="00000000" w:rsidR="00000000" w:rsidRPr="00000000">
              <w:rPr>
                <w:rtl w:val="0"/>
              </w:rPr>
            </w:r>
          </w:p>
        </w:tc>
        <w:tc>
          <w:tcPr>
            <w:shd w:fill="0b6477" w:val="clear"/>
            <w:tcMar>
              <w:top w:w="70.0" w:type="dxa"/>
              <w:bottom w:w="70.0" w:type="dxa"/>
            </w:tcMar>
            <w:vAlign w:val="center"/>
          </w:tcPr>
          <w:p w:rsidR="00000000" w:rsidDel="00000000" w:rsidP="00000000" w:rsidRDefault="00000000" w:rsidRPr="00000000" w14:paraId="00000035">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Evidence status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Exponential / log-space positive parameterization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7">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Exact source location not recovered from the earlier report export.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m = exp(u). If u receives a fixed sign step, then mₜ₊₁ = mₜ exp(−η sign(pₜ)); the multiplicative consequence is algebraic inference.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 direct evaluation recovered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A">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 direct evaluation recovered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Compatible by inference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Parameterization: stated; DoRA application: inferred</w:t>
            </w:r>
            <w:r w:rsidDel="00000000" w:rsidR="00000000" w:rsidRPr="00000000">
              <w:rPr>
                <w:rtl w:val="0"/>
              </w:rPr>
            </w:r>
          </w:p>
        </w:tc>
      </w:tr>
      <w:tr>
        <w:trPr>
          <w:cantSplit w:val="0"/>
          <w:tblHeader w:val="0"/>
        </w:trPr>
        <w:tc>
          <w:tcPr>
            <w:shd w:fill="f2f7f8" w:val="clear"/>
            <w:tcMar>
              <w:top w:w="65.0" w:type="dxa"/>
              <w:bottom w:w="65.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Softplus positive parameterization</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MD Decoupling source was named in the completed review; identifier and exact location were not recoverable from the indexed export.</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m = softplus(u) (+ optional floor). Positivity is stated by the parameterization; exact relative-step behavior is not constant and depends on u.</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Named as DoRA-adjacent/direct in prior artifact metadata; exact evidence 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Partly stated; exact transfer boundary retained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Adafactor relative-step scaling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Shazeer &amp; Stern, “Adafactor” (arXiv:1804.04235), relative-step rule; exact equation number not recovered.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Parameter update scale is multiplied by RMS(parameter), with a small floor in documented implementations: ΔX ∝ max(ε, RMS(X)) · normalized_update.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8">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9">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Normalized adaptive update: direct; sign routing: 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Rule stated; DoRA use inferred</w:t>
            </w:r>
            <w:r w:rsidDel="00000000" w:rsidR="00000000" w:rsidRPr="00000000">
              <w:rPr>
                <w:rtl w:val="0"/>
              </w:rPr>
            </w:r>
          </w:p>
        </w:tc>
      </w:tr>
      <w:tr>
        <w:trPr>
          <w:cantSplit w:val="0"/>
          <w:tblHeader w:val="0"/>
        </w:trPr>
        <w:tc>
          <w:tcPr>
            <w:shd w:fill="f2f7f8" w:val="clear"/>
            <w:tcMar>
              <w:top w:w="65.0" w:type="dxa"/>
              <w:bottom w:w="65.0" w:type="dxa"/>
            </w:tcMar>
            <w:vAlign w:val="center"/>
          </w:tcPr>
          <w:p w:rsidR="00000000" w:rsidDel="00000000" w:rsidP="00000000" w:rsidRDefault="00000000" w:rsidRPr="00000000" w14:paraId="0000004B">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LARS trust ratio</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C">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You et al., “Large Batch Training of Convolutional Networks” (arXiv:1708.03888); trust-ratio equation, exact number 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D">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Local scaling uses ‖w‖ / ‖g‖ (with implementation-specific weight-decay and stability terms), so update size is proportional to parameter norm.</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E">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4F">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0">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Normalized layerwise update: direct</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1">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Rule stated; application to 1-D gains inferred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LAMB trust ratio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You et al., “Large Batch Optimization for Deep Learning: Training BERT in 76 minutes” (arXiv:1904.00962), Algorithm 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xₜ₊₁ = xₜ − ηₜ [φ(‖xₜ‖)/‖rₜ‖] rₜ, where rₜ is the Adam-like direction.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Trust-ratio / normalized direction: direct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Rule stated; gain use inferred</w:t>
            </w:r>
            <w:r w:rsidDel="00000000" w:rsidR="00000000" w:rsidRPr="00000000">
              <w:rPr>
                <w:rtl w:val="0"/>
              </w:rPr>
            </w:r>
          </w:p>
        </w:tc>
      </w:tr>
      <w:tr>
        <w:trPr>
          <w:cantSplit w:val="0"/>
          <w:tblHeader w:val="0"/>
        </w:trPr>
        <w:tc>
          <w:tcPr>
            <w:shd w:fill="f2f7f8" w:val="clear"/>
            <w:tcMar>
              <w:top w:w="65.0" w:type="dxa"/>
              <w:bottom w:w="65.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Fromage relative update</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Bernstein et al., “On the distance between two neural networks and the stability of learning” / Fromage (arXiv:2002.03432); exact equation number 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xₜ₊₁ = [xₜ − η (‖xₜ‖/‖gₜ‖)gₜ] / √(1+η²).</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Normalized gradient: direct</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Rule stated; gain use inferred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Exponentiated-gradient / multiplicative update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Kivinen &amp; Warmuth, exponentiated-gradient family; exact edition/equation not recovered from the prior report.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Positive coordinates are updated multiplicatively, commonly xᵢ ← xᵢ exp(−ηgᵢ), optionally followed by normalization/projection.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Not a sign optimizer in cited origin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6">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Rule stated at family level; DoRA use inferred</w:t>
            </w:r>
            <w:r w:rsidDel="00000000" w:rsidR="00000000" w:rsidRPr="00000000">
              <w:rPr>
                <w:rtl w:val="0"/>
              </w:rPr>
            </w:r>
          </w:p>
        </w:tc>
      </w:tr>
      <w:tr>
        <w:trPr>
          <w:cantSplit w:val="0"/>
          <w:tblHeader w:val="0"/>
        </w:trPr>
        <w:tc>
          <w:tcPr>
            <w:shd w:fill="f2f7f8" w:val="clear"/>
            <w:tcMar>
              <w:top w:w="65.0" w:type="dxa"/>
              <w:bottom w:w="65.0" w:type="dxa"/>
            </w:tcMar>
            <w:vAlign w:val="center"/>
          </w:tcPr>
          <w:p w:rsidR="00000000" w:rsidDel="00000000" w:rsidP="00000000" w:rsidRDefault="00000000" w:rsidRPr="00000000" w14:paraId="00000067">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Positive-set projection / lower-bounded clamp</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General projected optimization; no gain-specific source with exact location was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mₜ₊₁ = Π[m_min,∞)(mₜ − updateₜ) = max(m_min, mₜ − updateₜ).</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6B">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6C">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Compatible by inference</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6D">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Generic rule; no direct DoRA evidence recovered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6E">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TVLARS time-varying trust ratio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TVLARS was identified in the completed review; source ID and exact equation location were not recoverable from the indexed export.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0">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Time-varying layerwise scaling: an initially high trust/learning-rate phase transitions through a sigmoid-like decay. Exact published formula not reproduced because its source location was not recoverable.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1">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 direct evaluation recovered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2">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Not recovered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3">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Layerwise normalized method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4">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Method family stated; transfer inferred</w:t>
            </w:r>
            <w:r w:rsidDel="00000000" w:rsidR="00000000" w:rsidRPr="00000000">
              <w:rPr>
                <w:rtl w:val="0"/>
              </w:rPr>
            </w:r>
          </w:p>
        </w:tc>
      </w:tr>
      <w:tr>
        <w:trPr>
          <w:cantSplit w:val="0"/>
          <w:tblHeader w:val="0"/>
        </w:trPr>
        <w:tc>
          <w:tcPr>
            <w:shd w:fill="f2f7f8" w:val="clear"/>
            <w:tcMar>
              <w:top w:w="65.0" w:type="dxa"/>
              <w:bottom w:w="65.0" w:type="dxa"/>
            </w:tcMar>
            <w:vAlign w:val="center"/>
          </w:tcPr>
          <w:p w:rsidR="00000000" w:rsidDel="00000000" w:rsidP="00000000" w:rsidRDefault="00000000" w:rsidRPr="00000000" w14:paraId="00000075">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Separate magnitude learning rate + late decay/freeze</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76">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DoRA/MD-Decoupling-adjacent method named in prior report metadata; exact source location 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77">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Magnitude parameters are routed to a distinct parameter group and scheduled separately from directional factors. A specific early/late boundary is not established here.</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Potentially direct, but exact evaluation 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79">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Not recovered</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7A">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Compatible</w:t>
            </w:r>
            <w:r w:rsidDel="00000000" w:rsidR="00000000" w:rsidRPr="00000000">
              <w:rPr>
                <w:rtl w:val="0"/>
              </w:rPr>
            </w:r>
          </w:p>
        </w:tc>
        <w:tc>
          <w:tcPr>
            <w:shd w:fill="f2f7f8" w:val="clear"/>
            <w:tcMar>
              <w:top w:w="65.0" w:type="dxa"/>
              <w:bottom w:w="65.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Aptos" w:cs="Aptos" w:eastAsia="Aptos" w:hAnsi="Aptos"/>
                <w:b w:val="0"/>
                <w:bCs w:val="0"/>
                <w:color w:val="1f2937"/>
                <w:sz w:val="13"/>
                <w:szCs w:val="13"/>
                <w:rtl w:val="0"/>
              </w:rPr>
              <w:t xml:space="preserve">Source-specific details withheld; operational transfer inferred</w:t>
            </w:r>
            <w:r w:rsidDel="00000000" w:rsidR="00000000" w:rsidRPr="00000000">
              <w:rPr>
                <w:rtl w:val="0"/>
              </w:rPr>
            </w:r>
          </w:p>
        </w:tc>
      </w:tr>
    </w:tbl>
    <w:p w:rsidR="00000000" w:rsidDel="00000000" w:rsidP="00000000" w:rsidRDefault="00000000" w:rsidRPr="00000000" w14:paraId="0000007C">
      <w:pPr>
        <w:rPr/>
        <w:sectPr>
          <w:type w:val="nextPage"/>
          <w:pgSz w:h="12240" w:w="15840"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4. Interpretation of the mechanisms</w:t>
      </w:r>
    </w:p>
    <w:p w:rsidR="00000000" w:rsidDel="00000000" w:rsidP="00000000" w:rsidRDefault="00000000" w:rsidRPr="00000000" w14:paraId="0000007E">
      <w:pPr>
        <w:pStyle w:val="Heading2"/>
        <w:rPr/>
      </w:pPr>
      <w:r w:rsidDel="00000000" w:rsidR="00000000" w:rsidRPr="00000000">
        <w:rPr>
          <w:rtl w:val="0"/>
        </w:rPr>
        <w:t xml:space="preserve">4.1 Positive parameterizations</w:t>
      </w:r>
    </w:p>
    <w:p w:rsidR="00000000" w:rsidDel="00000000" w:rsidP="00000000" w:rsidRDefault="00000000" w:rsidRPr="00000000" w14:paraId="0000007F">
      <w:pPr>
        <w:rPr/>
      </w:pPr>
      <w:r w:rsidDel="00000000" w:rsidR="00000000" w:rsidRPr="00000000">
        <w:rPr>
          <w:rtl w:val="0"/>
        </w:rPr>
        <w:t xml:space="preserve">Exponential and softplus mappings make the represented magnitude positive by construction. Exponential mapping also turns a fixed additive step in the unconstrained coordinate into a multiplicative change in m. Softplus is gentler near ordinary positive values but its relative effect is coordinate-dependent; it should not be described as exactly scale invariant.</w:t>
      </w:r>
    </w:p>
    <w:p w:rsidR="00000000" w:rsidDel="00000000" w:rsidP="00000000" w:rsidRDefault="00000000" w:rsidRPr="00000000" w14:paraId="00000080">
      <w:pPr>
        <w:pStyle w:val="Heading2"/>
        <w:rPr/>
      </w:pPr>
      <w:r w:rsidDel="00000000" w:rsidR="00000000" w:rsidRPr="00000000">
        <w:rPr>
          <w:rtl w:val="0"/>
        </w:rPr>
        <w:t xml:space="preserve">4.2 Trust-ratio and parameter-RMS scaling</w:t>
      </w:r>
    </w:p>
    <w:p w:rsidR="00000000" w:rsidDel="00000000" w:rsidP="00000000" w:rsidRDefault="00000000" w:rsidRPr="00000000" w14:paraId="00000081">
      <w:pPr>
        <w:rPr/>
      </w:pPr>
      <w:r w:rsidDel="00000000" w:rsidR="00000000" w:rsidRPr="00000000">
        <w:rPr>
          <w:rtl w:val="0"/>
        </w:rPr>
        <w:t xml:space="preserve">LARS, LAMB, Fromage and Adafactor all contain a source-backed mechanism that ties update scale to the current parameter or tensor scale. None of the recovered direct evidence shows that a scalar or 1-D DoRA magnitude vector should automatically be treated as one trust block; that grouping choice is an implementation decision and must be tested.</w:t>
      </w:r>
    </w:p>
    <w:p w:rsidR="00000000" w:rsidDel="00000000" w:rsidP="00000000" w:rsidRDefault="00000000" w:rsidRPr="00000000" w14:paraId="00000082">
      <w:pPr>
        <w:pStyle w:val="Heading2"/>
        <w:rPr/>
      </w:pPr>
      <w:r w:rsidDel="00000000" w:rsidR="00000000" w:rsidRPr="00000000">
        <w:rPr>
          <w:rtl w:val="0"/>
        </w:rPr>
        <w:t xml:space="preserve">4.3 Projection</w:t>
      </w:r>
    </w:p>
    <w:p w:rsidR="00000000" w:rsidDel="00000000" w:rsidP="00000000" w:rsidRDefault="00000000" w:rsidRPr="00000000" w14:paraId="00000083">
      <w:pPr>
        <w:rPr/>
      </w:pPr>
      <w:r w:rsidDel="00000000" w:rsidR="00000000" w:rsidRPr="00000000">
        <w:rPr>
          <w:rtl w:val="0"/>
        </w:rPr>
        <w:t xml:space="preserve">Projection or clamping can prevent sign crossing but can also accumulate rows at the lower boundary. It is a safety constraint, not evidence that the optimizer has learned an appropriate magnitude.</w:t>
      </w:r>
    </w:p>
    <w:p w:rsidR="00000000" w:rsidDel="00000000" w:rsidP="00000000" w:rsidRDefault="00000000" w:rsidRPr="00000000" w14:paraId="00000084">
      <w:pPr>
        <w:pStyle w:val="Heading2"/>
        <w:rPr/>
      </w:pPr>
      <w:r w:rsidDel="00000000" w:rsidR="00000000" w:rsidRPr="00000000">
        <w:rPr>
          <w:rtl w:val="0"/>
        </w:rPr>
        <w:t xml:space="preserve">4.4 Separate scheduling</w:t>
      </w:r>
    </w:p>
    <w:p w:rsidR="00000000" w:rsidDel="00000000" w:rsidP="00000000" w:rsidRDefault="00000000" w:rsidRPr="00000000" w14:paraId="00000085">
      <w:pPr>
        <w:rPr/>
      </w:pPr>
      <w:r w:rsidDel="00000000" w:rsidR="00000000" w:rsidRPr="00000000">
        <w:rPr>
          <w:rtl w:val="0"/>
        </w:rPr>
        <w:t xml:space="preserve">A separate magnitude parameter group is the clearest way to implement early freedom followed by late stabilization. However, a warm-up/decay/freeze schedule is only an application design unless a retrieved source directly studies that schedule on gain parameters.</w:t>
      </w:r>
    </w:p>
    <w:p w:rsidR="00000000" w:rsidDel="00000000" w:rsidP="00000000" w:rsidRDefault="00000000" w:rsidRPr="00000000" w14:paraId="00000086">
      <w:pPr>
        <w:pStyle w:val="Heading2"/>
        <w:rPr/>
      </w:pPr>
      <w:r w:rsidDel="00000000" w:rsidR="00000000" w:rsidRPr="00000000">
        <w:rPr>
          <w:rtl w:val="0"/>
        </w:rPr>
        <w:t xml:space="preserve">4.5 Decay toward initialization</w:t>
      </w:r>
    </w:p>
    <w:p w:rsidR="00000000" w:rsidDel="00000000" w:rsidP="00000000" w:rsidRDefault="00000000" w:rsidRPr="00000000" w14:paraId="00000087">
      <w:pPr>
        <w:rPr/>
      </w:pPr>
      <w:r w:rsidDel="00000000" w:rsidR="00000000" w:rsidRPr="00000000">
        <w:rPr>
          <w:rtl w:val="0"/>
        </w:rPr>
        <w:t xml:space="preserve">No qualifying published source was recovered for decoupled decay of DoRA magnitudes toward their initial values. A candidate rule such as m ← m − ηλ(m−m₀) is therefore recorded only as an inference, not as a literature finding.</w:t>
      </w:r>
    </w:p>
    <w:p w:rsidR="00000000" w:rsidDel="00000000" w:rsidP="00000000" w:rsidRDefault="00000000" w:rsidRPr="00000000" w14:paraId="00000088">
      <w:pPr>
        <w:pStyle w:val="Heading1"/>
        <w:rPr/>
      </w:pPr>
      <w:r w:rsidDel="00000000" w:rsidR="00000000" w:rsidRPr="00000000">
        <w:rPr>
          <w:rtl w:val="0"/>
        </w:rPr>
        <w:t xml:space="preserve">5. Failure reports found</w:t>
      </w:r>
    </w:p>
    <w:p w:rsidR="00000000" w:rsidDel="00000000" w:rsidP="00000000" w:rsidRDefault="00000000" w:rsidRPr="00000000" w14:paraId="00000089">
      <w:pPr>
        <w:rPr/>
      </w:pPr>
      <w:r w:rsidDel="00000000" w:rsidR="00000000" w:rsidRPr="00000000">
        <w:rPr>
          <w:b w:val="1"/>
          <w:bCs w:val="1"/>
          <w:rtl w:val="0"/>
        </w:rPr>
        <w:t xml:space="preserve">Direct published report matching the full failure signature: </w:t>
      </w:r>
      <w:r w:rsidDel="00000000" w:rsidR="00000000" w:rsidRPr="00000000">
        <w:rPr>
          <w:rtl w:val="0"/>
        </w:rPr>
        <w:t xml:space="preserve">not found in the recoverable evidence.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recovered source directly reports DoRA magnitude rows crossing zero specifically because a sign-type or Muon-routed 1-D optimizer took fixed absolute steps.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recovered source directly evaluates the same failure in an audio rectified-flow diffusion transformer.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measured run therefore remains the strongest direct evidence for this exact configuration; it should be treated as an internal failure report, not generalized into a published claim.</w:t>
      </w:r>
    </w:p>
    <w:p w:rsidR="00000000" w:rsidDel="00000000" w:rsidP="00000000" w:rsidRDefault="00000000" w:rsidRPr="00000000" w14:paraId="0000008D">
      <w:pPr>
        <w:pStyle w:val="Heading1"/>
        <w:rPr/>
      </w:pPr>
      <w:r w:rsidDel="00000000" w:rsidR="00000000" w:rsidRPr="00000000">
        <w:rPr>
          <w:rtl w:val="0"/>
        </w:rPr>
        <w:t xml:space="preserve">6. Inference synthesis (five sentences)</w:t>
      </w:r>
    </w:p>
    <w:p w:rsidR="00000000" w:rsidDel="00000000" w:rsidP="00000000" w:rsidRDefault="00000000" w:rsidRPr="00000000" w14:paraId="0000008E">
      <w:pPr>
        <w:rPr/>
      </w:pPr>
      <w:r w:rsidDel="00000000" w:rsidR="00000000" w:rsidRPr="00000000">
        <w:rPr>
          <w:rtl w:val="0"/>
        </w:rPr>
        <w:t xml:space="preserve">1. For the measured failure, exponential/log-space magnitude parameters are the cleanest way to make sign crossing impossible while converting a fixed step in the raw coordinate into a multiplicative change in the represented magnitude.</w:t>
      </w:r>
    </w:p>
    <w:p w:rsidR="00000000" w:rsidDel="00000000" w:rsidP="00000000" w:rsidRDefault="00000000" w:rsidRPr="00000000" w14:paraId="0000008F">
      <w:pPr>
        <w:rPr/>
      </w:pPr>
      <w:r w:rsidDel="00000000" w:rsidR="00000000" w:rsidRPr="00000000">
        <w:rPr>
          <w:rtl w:val="0"/>
        </w:rPr>
        <w:t xml:space="preserve">2. A parameter-size-scaled rule such as an Adafactor-style relative step or a LARS/LAMB/Fromage-style trust ratio is the strongest alternative when preserving the original magnitude parameterization matters.</w:t>
      </w:r>
    </w:p>
    <w:p w:rsidR="00000000" w:rsidDel="00000000" w:rsidP="00000000" w:rsidRDefault="00000000" w:rsidRPr="00000000" w14:paraId="00000090">
      <w:pPr>
        <w:rPr/>
      </w:pPr>
      <w:r w:rsidDel="00000000" w:rsidR="00000000" w:rsidRPr="00000000">
        <w:rPr>
          <w:rtl w:val="0"/>
        </w:rPr>
        <w:t xml:space="preserve">3. The two ideas can be combined, but doing so changes the effective geometry twice and therefore requires a small controlled ablation rather than assuming additivity.</w:t>
      </w:r>
    </w:p>
    <w:p w:rsidR="00000000" w:rsidDel="00000000" w:rsidP="00000000" w:rsidRDefault="00000000" w:rsidRPr="00000000" w14:paraId="00000091">
      <w:pPr>
        <w:rPr/>
      </w:pPr>
      <w:r w:rsidDel="00000000" w:rsidR="00000000" w:rsidRPr="00000000">
        <w:rPr>
          <w:rtl w:val="0"/>
        </w:rPr>
        <w:t xml:space="preserve">4. A separate magnitude schedule can supply early movement and late stability, but the reviewed evidence does not identify a source-backed universal freeze or decay point for DoRA.</w:t>
      </w:r>
    </w:p>
    <w:p w:rsidR="00000000" w:rsidDel="00000000" w:rsidP="00000000" w:rsidRDefault="00000000" w:rsidRPr="00000000" w14:paraId="00000092">
      <w:pPr>
        <w:rPr/>
      </w:pPr>
      <w:r w:rsidDel="00000000" w:rsidR="00000000" w:rsidRPr="00000000">
        <w:rPr>
          <w:rtl w:val="0"/>
        </w:rPr>
        <w:t xml:space="preserve">5. Projection is best treated as a last-line invariant guard because it prevents invalid values without resolving scale-blind drift.</w:t>
      </w:r>
    </w:p>
    <w:p w:rsidR="00000000" w:rsidDel="00000000" w:rsidP="00000000" w:rsidRDefault="00000000" w:rsidRPr="00000000" w14:paraId="00000093">
      <w:pPr>
        <w:pStyle w:val="Heading1"/>
        <w:rPr/>
      </w:pPr>
      <w:r w:rsidDel="00000000" w:rsidR="00000000" w:rsidRPr="00000000">
        <w:rPr>
          <w:rtl w:val="0"/>
        </w:rPr>
        <w:t xml:space="preserve">7. Search coverage recorded in the completed review</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DoRA magnitude / weight magnitude optimizer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weight normalization g optimizer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LayerNorm/RMSNorm gain signSGD Lion Signum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AdaLN scale optimizer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log-space / exponential / softplus parameterization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multiplicative and exponentiated-gradient updates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LARS / LAMB trust ratio for 1-D parameters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Adafactor relative step / parameter RMS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Fromage relative update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positive-set projection / constrained parameterization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early-only gain training / warm-up then freeze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separate learning rate for magnitude and direction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decay toward initialization / anchored regularization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Muon / normalized optimizer parameter routing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gain collapse / sign crossing / divergence</w:t>
      </w:r>
    </w:p>
    <w:p w:rsidR="00000000" w:rsidDel="00000000" w:rsidP="00000000" w:rsidRDefault="00000000" w:rsidRPr="00000000" w14:paraId="000000A3">
      <w:pPr>
        <w:pStyle w:val="Heading2"/>
        <w:rPr/>
      </w:pPr>
      <w:r w:rsidDel="00000000" w:rsidR="00000000" w:rsidRPr="00000000">
        <w:rPr>
          <w:rtl w:val="0"/>
        </w:rPr>
        <w:t xml:space="preserve">Venues and source classes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arXiv and paper title/identifier search</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OpenReview and conference-paper search</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Official optimizer repositories and framework documentation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DoRA follow-up literature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Normalized/sign-optimizer literature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Diffusion and parameter-efficient fine-tuning literature</w:t>
      </w:r>
    </w:p>
    <w:p w:rsidR="00000000" w:rsidDel="00000000" w:rsidP="00000000" w:rsidRDefault="00000000" w:rsidRPr="00000000" w14:paraId="000000AA">
      <w:pPr>
        <w:pStyle w:val="Heading1"/>
        <w:rPr/>
      </w:pPr>
      <w:r w:rsidDel="00000000" w:rsidR="00000000" w:rsidRPr="00000000">
        <w:rPr>
          <w:rtl w:val="0"/>
        </w:rPr>
        <w:t xml:space="preserve">8. Provenance and source-control note</w:t>
      </w:r>
    </w:p>
    <w:p w:rsidR="00000000" w:rsidDel="00000000" w:rsidP="00000000" w:rsidRDefault="00000000" w:rsidRPr="00000000" w14:paraId="000000AB">
      <w:pPr>
        <w:rPr/>
      </w:pPr>
      <w:r w:rsidDel="00000000" w:rsidR="00000000" w:rsidRPr="00000000">
        <w:rPr>
          <w:rtl w:val="0"/>
        </w:rPr>
        <w:t xml:space="preserve">This Word document was generated from the recoverable conversation record, the saved research brief titled “2026-09-23-dora-magnitude-sign-step-brief-1”, and saved artifact metadata describing the prior review’s mechanism map. The source brief explicitly requires exact source locations and “not found” rather than plausible reconstruction. That standard is followed here: missing exact identifiers or locations are marked as not recovered, and inferred DoRA applications are kept separate from source-stated claims.</w:t>
      </w:r>
    </w:p>
    <w:p w:rsidR="00000000" w:rsidDel="00000000" w:rsidP="00000000" w:rsidRDefault="00000000" w:rsidRPr="00000000" w14:paraId="000000AC">
      <w:pPr>
        <w:rPr/>
      </w:pPr>
      <w:r w:rsidDel="00000000" w:rsidR="00000000" w:rsidRPr="00000000">
        <w:rPr>
          <w:rtl w:val="0"/>
        </w:rPr>
        <w:t xml:space="preserve">Primary internal source used for the measured facts: “2026-09-23-dora-magnitude-sign-step-brief-1” (modified 23 September 2026).</w:t>
      </w:r>
    </w:p>
    <w:p w:rsidR="00000000" w:rsidDel="00000000" w:rsidP="00000000" w:rsidRDefault="00000000" w:rsidRPr="00000000" w14:paraId="000000AD">
      <w:pPr>
        <w:rPr/>
      </w:pPr>
      <w:r w:rsidDel="00000000" w:rsidR="00000000" w:rsidRPr="00000000">
        <w:rPr>
          <w:rtl w:val="0"/>
        </w:rPr>
        <w:t xml:space="preserve">No new benchmark numbers or unverified direct-evaluation claims were added.</w:t>
      </w:r>
    </w:p>
    <w:sectPr>
      <w:type w:val="nextPage"/>
      <w:pgSz w:h="15840" w:w="12240" w:orient="portrait"/>
      <w:pgMar w:bottom="936" w:top="1008" w:left="1123" w:right="112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ambria Math"/>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829ab1"/>
        <w:sz w:val="16"/>
        <w:szCs w:val="16"/>
        <w:u w:val="none"/>
        <w:shd w:fill="auto" w:val="clear"/>
        <w:vertAlign w:val="baseline"/>
        <w:rtl w:val="0"/>
      </w:rPr>
      <w:t xml:space="preserve">Source-auditable working note • 23 September 2026Source-auditable working note • 23 September 2026Source-auditable working note • 23 September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829ab1"/>
        <w:sz w:val="16"/>
        <w:szCs w:val="16"/>
        <w:u w:val="none"/>
        <w:shd w:fill="auto" w:val="clear"/>
        <w:vertAlign w:val="baseline"/>
        <w:rtl w:val="0"/>
      </w:rPr>
      <w:t xml:space="preserve">TECHNICAL RESEARCH NOTE  |  DoRA magnitude optimization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0b6477"/>
      <w:sz w:val="36"/>
      <w:szCs w:val="36"/>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167d8d"/>
      <w:sz w:val="26"/>
      <w:szCs w:val="26"/>
    </w:rPr>
  </w:style>
  <w:style w:type="paragraph" w:styleId="Heading3">
    <w:name w:val="heading 3"/>
    <w:basedOn w:val="Normal"/>
    <w:next w:val="Normal"/>
    <w:pPr>
      <w:keepNext w:val="1"/>
      <w:keepLines w:val="1"/>
      <w:spacing w:after="100" w:before="240" w:lineRule="auto"/>
    </w:pPr>
    <w:rPr>
      <w:rFonts w:ascii="Play" w:cs="Play" w:eastAsia="Play" w:hAnsi="Play"/>
      <w:b w:val="1"/>
      <w:bCs w:val="1"/>
      <w:color w:val="334e6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40" w:line="240" w:lineRule="auto"/>
    </w:pPr>
    <w:rPr>
      <w:rFonts w:ascii="Play" w:cs="Play" w:eastAsia="Play" w:hAnsi="Play"/>
      <w:b w:val="1"/>
      <w:bCs w:val="1"/>
      <w:color w:val="102a43"/>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