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Alternative Backtesting Engine Integration</w:t>
      </w:r>
    </w:p>
    <w:p>
      <w:r>
        <w:t>We integrated Backtesting.py and compared it with the application on identical signals and data. All 640 paired cases reconciled. Raw profit/loss differences came from favourable opening-gap fills, providing an independent accounting check rather than evidence of a better predictive strategy.</w:t>
      </w:r>
    </w:p>
    <w:p>
      <w:pPr>
        <w:pStyle w:val="Heading1"/>
      </w:pPr>
      <w:r>
        <w:t>What was integrated</w:t>
      </w:r>
    </w:p>
    <w:p>
      <w:r>
        <w:t>The earlier report recommended Backtesting.py as the first independent check. Version 0.6.5 is pinned for reproducibility and supplies order, position and account simulation. [1, 2]</w:t>
      </w:r>
    </w:p>
    <w:p>
      <w:r>
        <w:t>The Adapter pattern gives both engines the same run interface and result format. Existing Steps 1–4 generate confirmed events through all four swing methods. One adapter calls trading.py; the other independently submits orders to Backtesting.py. They share signals and ATR values, so this comparison validates execution and accounting, not the signal algorithm itself.</w:t>
      </w:r>
    </w:p>
    <w:p>
      <w:r>
        <w:t>Each candle becomes an Open-only phase followed by its full range and Close. Only the Open is visible when the prior signal’s entry and protection are submitted. The framework fills at that Open and checks protection within the candle. These phases represent execution order, not extra market observations. We report only original Close equity and exclude synthetic-frequency annualized statistics.</w:t>
      </w:r>
    </w:p>
    <w:p>
      <w:pPr>
        <w:pStyle w:val="Heading1"/>
      </w:pPr>
      <w:r>
        <w:t>Matched conditions</w:t>
      </w:r>
    </w:p>
    <w:p>
      <w:r>
        <w:t>Both engines trade one share at a time, allow long and short positions, and start each stock/block with 10,000 units. ATR(14), the 14-bar Average True Range, measures price-range volatility. Its signal-time value fixes a stop distance of 2 ATR and a target twice that distance. Occupied signals are skipped; cutoff positions remain open. Cost cases are zero costs and 0.10 per filled order, excluding slippage and borrowing.</w:t>
      </w:r>
    </w:p>
    <w:p>
      <w:pPr>
        <w:pStyle w:val="Heading1"/>
        <w:pageBreakBefore/>
      </w:pPr>
      <w:r>
        <w:t>Profit and loss results</w:t>
      </w:r>
    </w:p>
    <w:p>
      <w:r>
        <w:t>The experiment reuses 25,180 daily records across 20 stocks from February 2013 to February 2018. Test blocks are 2014, 2015, 2016, and January 2017 to 7 February 2018. Earlier bars warm up the existing algorithms. Parameters were fixed; there was no optimization. [3]</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2088"/>
        <w:gridCol w:w="2376"/>
        <w:gridCol w:w="2376"/>
      </w:tblGrid>
      <w:tr>
        <w:trPr>
          <w:cantSplit/>
          <w:tblHeader/>
        </w:trPr>
        <w:tc>
          <w:tcPr>
            <w:tcW w:type="dxa" w:w="2520"/>
            <w:vAlign w:val="center"/>
            <w:tcMar>
              <w:top w:w="45" w:type="dxa"/>
              <w:bottom w:w="45" w:type="dxa"/>
              <w:left w:w="70" w:type="dxa"/>
              <w:right w:w="70" w:type="dxa"/>
            </w:tcMar>
            <w:shd w:fill="EFEFEF"/>
          </w:tcPr>
          <w:p>
            <w:pPr>
              <w:spacing w:line="480" w:lineRule="auto" w:after="0"/>
              <w:jc w:val="left"/>
            </w:pPr>
            <w:r>
              <w:rPr>
                <w:b/>
              </w:rPr>
              <w:t>Method</w:t>
            </w:r>
          </w:p>
        </w:tc>
        <w:tc>
          <w:tcPr>
            <w:tcW w:type="dxa" w:w="2088"/>
            <w:vAlign w:val="center"/>
            <w:tcMar>
              <w:top w:w="45" w:type="dxa"/>
              <w:bottom w:w="45" w:type="dxa"/>
              <w:left w:w="70" w:type="dxa"/>
              <w:right w:w="70" w:type="dxa"/>
            </w:tcMar>
            <w:shd w:fill="EFEFEF"/>
          </w:tcPr>
          <w:p>
            <w:pPr>
              <w:spacing w:line="480" w:lineRule="auto" w:after="0"/>
              <w:jc w:val="center"/>
            </w:pPr>
            <w:r>
              <w:rPr>
                <w:b/>
              </w:rPr>
              <w:t>Application</w:t>
            </w:r>
          </w:p>
        </w:tc>
        <w:tc>
          <w:tcPr>
            <w:tcW w:type="dxa" w:w="2376"/>
            <w:vAlign w:val="center"/>
            <w:tcMar>
              <w:top w:w="45" w:type="dxa"/>
              <w:bottom w:w="45" w:type="dxa"/>
              <w:left w:w="70" w:type="dxa"/>
              <w:right w:w="70" w:type="dxa"/>
            </w:tcMar>
            <w:shd w:fill="EFEFEF"/>
          </w:tcPr>
          <w:p>
            <w:pPr>
              <w:spacing w:line="480" w:lineRule="auto" w:after="0"/>
              <w:jc w:val="center"/>
            </w:pPr>
            <w:r>
              <w:rPr>
                <w:b/>
              </w:rPr>
              <w:t>Backtesting.py</w:t>
            </w:r>
          </w:p>
        </w:tc>
        <w:tc>
          <w:tcPr>
            <w:tcW w:type="dxa" w:w="2376"/>
            <w:vAlign w:val="center"/>
            <w:tcMar>
              <w:top w:w="45" w:type="dxa"/>
              <w:bottom w:w="45" w:type="dxa"/>
              <w:left w:w="70" w:type="dxa"/>
              <w:right w:w="70" w:type="dxa"/>
            </w:tcMar>
            <w:shd w:fill="EFEFEF"/>
          </w:tcPr>
          <w:p>
            <w:pPr>
              <w:spacing w:line="480" w:lineRule="auto" w:after="0"/>
              <w:jc w:val="center"/>
            </w:pPr>
            <w:r>
              <w:rPr>
                <w:b/>
              </w:rPr>
              <w:t>Difference</w:t>
            </w:r>
          </w:p>
        </w:tc>
      </w:tr>
      <w:tr>
        <w:trPr>
          <w:cantSplit/>
        </w:trPr>
        <w:tc>
          <w:tcPr>
            <w:tcW w:type="dxa" w:w="2520"/>
            <w:vAlign w:val="center"/>
            <w:tcMar>
              <w:top w:w="45" w:type="dxa"/>
              <w:bottom w:w="45" w:type="dxa"/>
              <w:left w:w="70" w:type="dxa"/>
              <w:right w:w="70" w:type="dxa"/>
            </w:tcMar>
          </w:tcPr>
          <w:p>
            <w:pPr>
              <w:spacing w:line="480" w:lineRule="auto" w:after="0"/>
              <w:jc w:val="left"/>
            </w:pPr>
            <w:r>
              <w:rPr>
                <w:b w:val="0"/>
              </w:rPr>
              <w:t>Traditional TA</w:t>
            </w:r>
          </w:p>
        </w:tc>
        <w:tc>
          <w:tcPr>
            <w:tcW w:type="dxa" w:w="2088"/>
            <w:vAlign w:val="center"/>
            <w:tcMar>
              <w:top w:w="45" w:type="dxa"/>
              <w:bottom w:w="45" w:type="dxa"/>
              <w:left w:w="70" w:type="dxa"/>
              <w:right w:w="70" w:type="dxa"/>
            </w:tcMar>
          </w:tcPr>
          <w:p>
            <w:pPr>
              <w:spacing w:line="480" w:lineRule="auto" w:after="0"/>
              <w:jc w:val="center"/>
            </w:pPr>
            <w:r>
              <w:rPr>
                <w:b w:val="0"/>
              </w:rPr>
              <w:t>62.99</w:t>
            </w:r>
          </w:p>
        </w:tc>
        <w:tc>
          <w:tcPr>
            <w:tcW w:type="dxa" w:w="2376"/>
            <w:vAlign w:val="center"/>
            <w:tcMar>
              <w:top w:w="45" w:type="dxa"/>
              <w:bottom w:w="45" w:type="dxa"/>
              <w:left w:w="70" w:type="dxa"/>
              <w:right w:w="70" w:type="dxa"/>
            </w:tcMar>
          </w:tcPr>
          <w:p>
            <w:pPr>
              <w:spacing w:line="480" w:lineRule="auto" w:after="0"/>
              <w:jc w:val="center"/>
            </w:pPr>
            <w:r>
              <w:rPr>
                <w:b w:val="0"/>
              </w:rPr>
              <w:t>170.25</w:t>
            </w:r>
          </w:p>
        </w:tc>
        <w:tc>
          <w:tcPr>
            <w:tcW w:type="dxa" w:w="2376"/>
            <w:vAlign w:val="center"/>
            <w:tcMar>
              <w:top w:w="45" w:type="dxa"/>
              <w:bottom w:w="45" w:type="dxa"/>
              <w:left w:w="70" w:type="dxa"/>
              <w:right w:w="70" w:type="dxa"/>
            </w:tcMar>
          </w:tcPr>
          <w:p>
            <w:pPr>
              <w:spacing w:line="480" w:lineRule="auto" w:after="0"/>
              <w:jc w:val="center"/>
            </w:pPr>
            <w:r>
              <w:rPr>
                <w:b w:val="0"/>
              </w:rPr>
              <w:t>107.26</w:t>
            </w:r>
          </w:p>
        </w:tc>
      </w:tr>
      <w:tr>
        <w:trPr>
          <w:cantSplit/>
        </w:trPr>
        <w:tc>
          <w:tcPr>
            <w:tcW w:type="dxa" w:w="2520"/>
            <w:vAlign w:val="center"/>
            <w:tcMar>
              <w:top w:w="45" w:type="dxa"/>
              <w:bottom w:w="45" w:type="dxa"/>
              <w:left w:w="70" w:type="dxa"/>
              <w:right w:w="70" w:type="dxa"/>
            </w:tcMar>
          </w:tcPr>
          <w:p>
            <w:pPr>
              <w:spacing w:line="480" w:lineRule="auto" w:after="0"/>
              <w:jc w:val="left"/>
            </w:pPr>
            <w:r>
              <w:rPr>
                <w:b w:val="0"/>
              </w:rPr>
              <w:t>Percentage</w:t>
            </w:r>
          </w:p>
        </w:tc>
        <w:tc>
          <w:tcPr>
            <w:tcW w:type="dxa" w:w="2088"/>
            <w:vAlign w:val="center"/>
            <w:tcMar>
              <w:top w:w="45" w:type="dxa"/>
              <w:bottom w:w="45" w:type="dxa"/>
              <w:left w:w="70" w:type="dxa"/>
              <w:right w:w="70" w:type="dxa"/>
            </w:tcMar>
          </w:tcPr>
          <w:p>
            <w:pPr>
              <w:spacing w:line="480" w:lineRule="auto" w:after="0"/>
              <w:jc w:val="center"/>
            </w:pPr>
            <w:r>
              <w:rPr>
                <w:b w:val="0"/>
              </w:rPr>
              <w:t>-128.44</w:t>
            </w:r>
          </w:p>
        </w:tc>
        <w:tc>
          <w:tcPr>
            <w:tcW w:type="dxa" w:w="2376"/>
            <w:vAlign w:val="center"/>
            <w:tcMar>
              <w:top w:w="45" w:type="dxa"/>
              <w:bottom w:w="45" w:type="dxa"/>
              <w:left w:w="70" w:type="dxa"/>
              <w:right w:w="70" w:type="dxa"/>
            </w:tcMar>
          </w:tcPr>
          <w:p>
            <w:pPr>
              <w:spacing w:line="480" w:lineRule="auto" w:after="0"/>
              <w:jc w:val="center"/>
            </w:pPr>
            <w:r>
              <w:rPr>
                <w:b w:val="0"/>
              </w:rPr>
              <w:t>-1.65</w:t>
            </w:r>
          </w:p>
        </w:tc>
        <w:tc>
          <w:tcPr>
            <w:tcW w:type="dxa" w:w="2376"/>
            <w:vAlign w:val="center"/>
            <w:tcMar>
              <w:top w:w="45" w:type="dxa"/>
              <w:bottom w:w="45" w:type="dxa"/>
              <w:left w:w="70" w:type="dxa"/>
              <w:right w:w="70" w:type="dxa"/>
            </w:tcMar>
          </w:tcPr>
          <w:p>
            <w:pPr>
              <w:spacing w:line="480" w:lineRule="auto" w:after="0"/>
              <w:jc w:val="center"/>
            </w:pPr>
            <w:r>
              <w:rPr>
                <w:b w:val="0"/>
              </w:rPr>
              <w:t>126.80</w:t>
            </w:r>
          </w:p>
        </w:tc>
      </w:tr>
      <w:tr>
        <w:trPr>
          <w:cantSplit/>
        </w:trPr>
        <w:tc>
          <w:tcPr>
            <w:tcW w:type="dxa" w:w="2520"/>
            <w:vAlign w:val="center"/>
            <w:tcMar>
              <w:top w:w="45" w:type="dxa"/>
              <w:bottom w:w="45" w:type="dxa"/>
              <w:left w:w="70" w:type="dxa"/>
              <w:right w:w="70" w:type="dxa"/>
            </w:tcMar>
          </w:tcPr>
          <w:p>
            <w:pPr>
              <w:spacing w:line="480" w:lineRule="auto" w:after="0"/>
              <w:jc w:val="left"/>
            </w:pPr>
            <w:r>
              <w:rPr>
                <w:b w:val="0"/>
              </w:rPr>
              <w:t>ATR reversal</w:t>
            </w:r>
          </w:p>
        </w:tc>
        <w:tc>
          <w:tcPr>
            <w:tcW w:type="dxa" w:w="2088"/>
            <w:vAlign w:val="center"/>
            <w:tcMar>
              <w:top w:w="45" w:type="dxa"/>
              <w:bottom w:w="45" w:type="dxa"/>
              <w:left w:w="70" w:type="dxa"/>
              <w:right w:w="70" w:type="dxa"/>
            </w:tcMar>
          </w:tcPr>
          <w:p>
            <w:pPr>
              <w:spacing w:line="480" w:lineRule="auto" w:after="0"/>
              <w:jc w:val="center"/>
            </w:pPr>
            <w:r>
              <w:rPr>
                <w:b w:val="0"/>
              </w:rPr>
              <w:t>-231.32</w:t>
            </w:r>
          </w:p>
        </w:tc>
        <w:tc>
          <w:tcPr>
            <w:tcW w:type="dxa" w:w="2376"/>
            <w:vAlign w:val="center"/>
            <w:tcMar>
              <w:top w:w="45" w:type="dxa"/>
              <w:bottom w:w="45" w:type="dxa"/>
              <w:left w:w="70" w:type="dxa"/>
              <w:right w:w="70" w:type="dxa"/>
            </w:tcMar>
          </w:tcPr>
          <w:p>
            <w:pPr>
              <w:spacing w:line="480" w:lineRule="auto" w:after="0"/>
              <w:jc w:val="center"/>
            </w:pPr>
            <w:r>
              <w:rPr>
                <w:b w:val="0"/>
              </w:rPr>
              <w:t>-93.74</w:t>
            </w:r>
          </w:p>
        </w:tc>
        <w:tc>
          <w:tcPr>
            <w:tcW w:type="dxa" w:w="2376"/>
            <w:vAlign w:val="center"/>
            <w:tcMar>
              <w:top w:w="45" w:type="dxa"/>
              <w:bottom w:w="45" w:type="dxa"/>
              <w:left w:w="70" w:type="dxa"/>
              <w:right w:w="70" w:type="dxa"/>
            </w:tcMar>
          </w:tcPr>
          <w:p>
            <w:pPr>
              <w:spacing w:line="480" w:lineRule="auto" w:after="0"/>
              <w:jc w:val="center"/>
            </w:pPr>
            <w:r>
              <w:rPr>
                <w:b w:val="0"/>
              </w:rPr>
              <w:t>137.58</w:t>
            </w:r>
          </w:p>
        </w:tc>
      </w:tr>
      <w:tr>
        <w:trPr>
          <w:cantSplit/>
        </w:trPr>
        <w:tc>
          <w:tcPr>
            <w:tcW w:type="dxa" w:w="2520"/>
            <w:vAlign w:val="center"/>
            <w:tcMar>
              <w:top w:w="45" w:type="dxa"/>
              <w:bottom w:w="45" w:type="dxa"/>
              <w:left w:w="70" w:type="dxa"/>
              <w:right w:w="70" w:type="dxa"/>
            </w:tcMar>
          </w:tcPr>
          <w:p>
            <w:pPr>
              <w:spacing w:line="480" w:lineRule="auto" w:after="0"/>
              <w:jc w:val="left"/>
            </w:pPr>
            <w:r>
              <w:rPr>
                <w:b w:val="0"/>
              </w:rPr>
              <w:t>Prominence</w:t>
            </w:r>
          </w:p>
        </w:tc>
        <w:tc>
          <w:tcPr>
            <w:tcW w:type="dxa" w:w="2088"/>
            <w:vAlign w:val="center"/>
            <w:tcMar>
              <w:top w:w="45" w:type="dxa"/>
              <w:bottom w:w="45" w:type="dxa"/>
              <w:left w:w="70" w:type="dxa"/>
              <w:right w:w="70" w:type="dxa"/>
            </w:tcMar>
          </w:tcPr>
          <w:p>
            <w:pPr>
              <w:spacing w:line="480" w:lineRule="auto" w:after="0"/>
              <w:jc w:val="center"/>
            </w:pPr>
            <w:r>
              <w:rPr>
                <w:b w:val="0"/>
              </w:rPr>
              <w:t>-150.64</w:t>
            </w:r>
          </w:p>
        </w:tc>
        <w:tc>
          <w:tcPr>
            <w:tcW w:type="dxa" w:w="2376"/>
            <w:vAlign w:val="center"/>
            <w:tcMar>
              <w:top w:w="45" w:type="dxa"/>
              <w:bottom w:w="45" w:type="dxa"/>
              <w:left w:w="70" w:type="dxa"/>
              <w:right w:w="70" w:type="dxa"/>
            </w:tcMar>
          </w:tcPr>
          <w:p>
            <w:pPr>
              <w:spacing w:line="480" w:lineRule="auto" w:after="0"/>
              <w:jc w:val="center"/>
            </w:pPr>
            <w:r>
              <w:rPr>
                <w:b w:val="0"/>
              </w:rPr>
              <w:t>-73.65</w:t>
            </w:r>
          </w:p>
        </w:tc>
        <w:tc>
          <w:tcPr>
            <w:tcW w:type="dxa" w:w="2376"/>
            <w:vAlign w:val="center"/>
            <w:tcMar>
              <w:top w:w="45" w:type="dxa"/>
              <w:bottom w:w="45" w:type="dxa"/>
              <w:left w:w="70" w:type="dxa"/>
              <w:right w:w="70" w:type="dxa"/>
            </w:tcMar>
          </w:tcPr>
          <w:p>
            <w:pPr>
              <w:spacing w:line="480" w:lineRule="auto" w:after="0"/>
              <w:jc w:val="center"/>
            </w:pPr>
            <w:r>
              <w:rPr>
                <w:b w:val="0"/>
              </w:rPr>
              <w:t>76.99</w:t>
            </w:r>
          </w:p>
        </w:tc>
      </w:tr>
    </w:tbl>
    <w:p>
      <w:pPr>
        <w:pStyle w:val="Caption"/>
      </w:pPr>
      <w:r>
        <w:t>Table 1. Net marked P/L after 0.10 per-order commission. Input price units, summed across independent blocks; not compounded returns. Difference is alternative minus application. Values are rounded separately.</w:t>
      </w:r>
    </w:p>
    <w:p>
      <w:r>
        <w:t>Net marked P/L equals realized profit/loss from closed trades plus the current profit/loss on open positions, after fees already incurred. It does not charge an exit fee for a position that remains open.</w:t>
      </w:r>
    </w:p>
    <w:p>
      <w:r>
        <w:t>Each cost scenario has 95 target-gap cases. The application uses the fixed target; Backtesting.py uses the better Open. A GOOGL percentage-method long exited on 17 July 2015 at 621.74527856 versus 680.00. The one-share gain difference is 58.25472144, with identical commissions.</w:t>
      </w:r>
    </w:p>
    <w:p>
      <w:r>
        <w:t>All entry and exit bars and quantities match. Removing only these verified price improvements in a separate diagnostic leaves less than 0.0000000001 units of unexplained equity difference. Raw framework results remain unchanged.</w:t>
      </w:r>
    </w:p>
    <w:p>
      <w:r>
        <w:t>The positive TA result here excludes slippage and borrowing costs, which made the earlier base-cost experiment negative. These scenarios must not be treated as equivalent.</w:t>
      </w:r>
    </w:p>
    <w:p>
      <w:pPr>
        <w:pStyle w:val="Heading1"/>
        <w:pageBreakBefore/>
      </w:pPr>
      <w:r>
        <w:t>Validation and execution time</w:t>
      </w:r>
    </w:p>
    <w:p>
      <w:r>
        <w:t>The combined application and both PRs pass all 177 tests, including 30 new adapter tests. Hand-calculated fixtures cover long/short P/L, entry-bar stops, opening gaps, stop-first ambiguity, commissions, capital limits, occupied signals and final unfilled entries. Tests also verify that the alternative works without importing trading.py.</w:t>
      </w:r>
    </w:p>
    <w:p>
      <w:r>
        <w:t>The experiment contains 640 paired configurations, or 1,280 engine results. Each configuration was repeated three times for timing and produced identical trades and equity. Decimal arithmetic reconciled 1,103,680 original Close values, including warm-up, across 7,336 trade instances. The maximum accounting error was below 0.0000000001 units. These repeated cases are not independent market samples.</w:t>
      </w:r>
    </w:p>
    <w:p>
      <w:r>
        <w:t>Thirty-two AAPL midpoint checks reran Steps 1–4 and execution using only shortened histories. Earlier entries and equity were unchanged. The application’s 320 zero-cost cases also match the previous backtest within numerical precision.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032"/>
        <w:gridCol w:w="2664"/>
        <w:gridCol w:w="2664"/>
      </w:tblGrid>
      <w:tr>
        <w:trPr>
          <w:cantSplit/>
          <w:tblHeader/>
        </w:trPr>
        <w:tc>
          <w:tcPr>
            <w:tcW w:type="dxa" w:w="4032"/>
            <w:vAlign w:val="center"/>
            <w:tcMar>
              <w:top w:w="45" w:type="dxa"/>
              <w:bottom w:w="45" w:type="dxa"/>
              <w:left w:w="70" w:type="dxa"/>
              <w:right w:w="70" w:type="dxa"/>
            </w:tcMar>
            <w:shd w:fill="EFEFEF"/>
          </w:tcPr>
          <w:p>
            <w:pPr>
              <w:spacing w:line="480" w:lineRule="auto" w:after="0"/>
              <w:jc w:val="left"/>
            </w:pPr>
            <w:r>
              <w:rPr>
                <w:b/>
              </w:rPr>
              <w:t>Implementation</w:t>
            </w:r>
          </w:p>
        </w:tc>
        <w:tc>
          <w:tcPr>
            <w:tcW w:type="dxa" w:w="2664"/>
            <w:vAlign w:val="center"/>
            <w:tcMar>
              <w:top w:w="45" w:type="dxa"/>
              <w:bottom w:w="45" w:type="dxa"/>
              <w:left w:w="70" w:type="dxa"/>
              <w:right w:w="70" w:type="dxa"/>
            </w:tcMar>
            <w:shd w:fill="EFEFEF"/>
          </w:tcPr>
          <w:p>
            <w:pPr>
              <w:spacing w:line="480" w:lineRule="auto" w:after="0"/>
              <w:jc w:val="center"/>
            </w:pPr>
            <w:r>
              <w:rPr>
                <w:b/>
              </w:rPr>
              <w:t>Median per case ms</w:t>
            </w:r>
          </w:p>
        </w:tc>
        <w:tc>
          <w:tcPr>
            <w:tcW w:type="dxa" w:w="2664"/>
            <w:vAlign w:val="center"/>
            <w:tcMar>
              <w:top w:w="45" w:type="dxa"/>
              <w:bottom w:w="45" w:type="dxa"/>
              <w:left w:w="70" w:type="dxa"/>
              <w:right w:w="70" w:type="dxa"/>
            </w:tcMar>
            <w:shd w:fill="EFEFEF"/>
          </w:tcPr>
          <w:p>
            <w:pPr>
              <w:spacing w:line="480" w:lineRule="auto" w:after="0"/>
              <w:jc w:val="center"/>
            </w:pPr>
            <w:r>
              <w:rPr>
                <w:b/>
              </w:rPr>
              <w:t>Sum of medians s</w:t>
            </w:r>
          </w:p>
        </w:tc>
      </w:tr>
      <w:tr>
        <w:trPr>
          <w:cantSplit/>
        </w:trPr>
        <w:tc>
          <w:tcPr>
            <w:tcW w:type="dxa" w:w="4032"/>
            <w:vAlign w:val="center"/>
            <w:tcMar>
              <w:top w:w="45" w:type="dxa"/>
              <w:bottom w:w="45" w:type="dxa"/>
              <w:left w:w="70" w:type="dxa"/>
              <w:right w:w="70" w:type="dxa"/>
            </w:tcMar>
          </w:tcPr>
          <w:p>
            <w:pPr>
              <w:spacing w:line="480" w:lineRule="auto" w:after="0"/>
              <w:jc w:val="left"/>
            </w:pPr>
            <w:r>
              <w:rPr>
                <w:b w:val="0"/>
              </w:rPr>
              <w:t>Application</w:t>
            </w:r>
          </w:p>
        </w:tc>
        <w:tc>
          <w:tcPr>
            <w:tcW w:type="dxa" w:w="2664"/>
            <w:vAlign w:val="center"/>
            <w:tcMar>
              <w:top w:w="45" w:type="dxa"/>
              <w:bottom w:w="45" w:type="dxa"/>
              <w:left w:w="70" w:type="dxa"/>
              <w:right w:w="70" w:type="dxa"/>
            </w:tcMar>
          </w:tcPr>
          <w:p>
            <w:pPr>
              <w:spacing w:line="480" w:lineRule="auto" w:after="0"/>
              <w:jc w:val="center"/>
            </w:pPr>
            <w:r>
              <w:rPr>
                <w:b w:val="0"/>
              </w:rPr>
              <w:t>3.07</w:t>
            </w:r>
          </w:p>
        </w:tc>
        <w:tc>
          <w:tcPr>
            <w:tcW w:type="dxa" w:w="2664"/>
            <w:vAlign w:val="center"/>
            <w:tcMar>
              <w:top w:w="45" w:type="dxa"/>
              <w:bottom w:w="45" w:type="dxa"/>
              <w:left w:w="70" w:type="dxa"/>
              <w:right w:w="70" w:type="dxa"/>
            </w:tcMar>
          </w:tcPr>
          <w:p>
            <w:pPr>
              <w:spacing w:line="480" w:lineRule="auto" w:after="0"/>
              <w:jc w:val="center"/>
            </w:pPr>
            <w:r>
              <w:rPr>
                <w:b w:val="0"/>
              </w:rPr>
              <w:t>1.90</w:t>
            </w:r>
          </w:p>
        </w:tc>
      </w:tr>
      <w:tr>
        <w:trPr>
          <w:cantSplit/>
        </w:trPr>
        <w:tc>
          <w:tcPr>
            <w:tcW w:type="dxa" w:w="4032"/>
            <w:vAlign w:val="center"/>
            <w:tcMar>
              <w:top w:w="45" w:type="dxa"/>
              <w:bottom w:w="45" w:type="dxa"/>
              <w:left w:w="70" w:type="dxa"/>
              <w:right w:w="70" w:type="dxa"/>
            </w:tcMar>
          </w:tcPr>
          <w:p>
            <w:pPr>
              <w:spacing w:line="480" w:lineRule="auto" w:after="0"/>
              <w:jc w:val="left"/>
            </w:pPr>
            <w:r>
              <w:rPr>
                <w:b w:val="0"/>
              </w:rPr>
              <w:t>Backtesting.py adapter</w:t>
            </w:r>
          </w:p>
        </w:tc>
        <w:tc>
          <w:tcPr>
            <w:tcW w:type="dxa" w:w="2664"/>
            <w:vAlign w:val="center"/>
            <w:tcMar>
              <w:top w:w="45" w:type="dxa"/>
              <w:bottom w:w="45" w:type="dxa"/>
              <w:left w:w="70" w:type="dxa"/>
              <w:right w:w="70" w:type="dxa"/>
            </w:tcMar>
          </w:tcPr>
          <w:p>
            <w:pPr>
              <w:spacing w:line="480" w:lineRule="auto" w:after="0"/>
              <w:jc w:val="center"/>
            </w:pPr>
            <w:r>
              <w:rPr>
                <w:b w:val="0"/>
              </w:rPr>
              <w:t>22.04</w:t>
            </w:r>
          </w:p>
        </w:tc>
        <w:tc>
          <w:tcPr>
            <w:tcW w:type="dxa" w:w="2664"/>
            <w:vAlign w:val="center"/>
            <w:tcMar>
              <w:top w:w="45" w:type="dxa"/>
              <w:bottom w:w="45" w:type="dxa"/>
              <w:left w:w="70" w:type="dxa"/>
              <w:right w:w="70" w:type="dxa"/>
            </w:tcMar>
          </w:tcPr>
          <w:p>
            <w:pPr>
              <w:spacing w:line="480" w:lineRule="auto" w:after="0"/>
              <w:jc w:val="center"/>
            </w:pPr>
            <w:r>
              <w:rPr>
                <w:b w:val="0"/>
              </w:rPr>
              <w:t>13.77</w:t>
            </w:r>
          </w:p>
        </w:tc>
      </w:tr>
    </w:tbl>
    <w:p>
      <w:pPr>
        <w:pStyle w:val="Caption"/>
      </w:pPr>
      <w:r>
        <w:t>Table 2. Wall time on the same Linux environment with Python 3.12.14. Each case uses the median of three runs; the table then summarizes the 640 case medians.</w:t>
      </w:r>
    </w:p>
    <w:p>
      <w:r>
        <w:t>The median paired runtime ratio is 7.31, with the application faster. Timing includes each adapter’s conversion, simulation and result extraction, but excludes shared Steps 1–4 detection, imports, export and plotting. Two synthetic phases and framework statistics add work. This is a measured integration cost, not a universal claim about the framework.</w:t>
      </w:r>
    </w:p>
    <w:p>
      <w:pPr>
        <w:pStyle w:val="Heading1"/>
        <w:pageBreakBefore/>
      </w:pPr>
      <w:r>
        <w:t>Using the integration and interpreting the result</w:t>
      </w:r>
    </w:p>
    <w:p>
      <w:r>
        <w:t>The package adds the comparison command, adapters, settings, tests and results. No existing application files are changed, and no paths overlap the earlier backtesting package. Either PR can merge first; full comparison requires its trading.py and prepared stock data.</w:t>
      </w:r>
    </w:p>
    <w:p>
      <w:r>
        <w:t>After merging both PRs, activate the virtual environment in swingpoints_project and enter these commands separately:</w:t>
      </w:r>
    </w:p>
    <w:p>
      <w:r>
        <w:t>python -m pip install -r requirements-engines.txt</w:t>
      </w:r>
    </w:p>
    <w:p>
      <w:r>
        <w:t>python compare_engines.py --output engine_comparison_results/my_run</w:t>
      </w:r>
    </w:p>
    <w:p>
      <w:r>
        <w:t>Before the other PR merges, use --input data/data.csv --engines backtesting_py to run the alternative alone. This addition supplies a separate command-line tool; the existing GUI is unchanged.</w:t>
      </w:r>
    </w:p>
    <w:p>
      <w:pPr>
        <w:pStyle w:val="Heading1"/>
      </w:pPr>
      <w:r>
        <w:t>Conclusion</w:t>
      </w:r>
    </w:p>
    <w:p>
      <w:r>
        <w:t>Keep the current simulator and use Backtesting.py as an independent check. Agreement supports the recorded timing and accounting, not live profitability. Shared signals, unknown intrabar paths, an old selected dataset and omitted slippage/borrow costs limit the conclusion. One-share sizing also leaves most capital idle.</w:t>
      </w:r>
    </w:p>
    <w:p>
      <w:r>
        <w:t>Retain the earlier full-cost backtest, specify a realistic fill policy, and evaluate future changes on newer, untouched data. Switching engines alone does not improve the underlying signal.</w:t>
      </w:r>
    </w:p>
    <w:p>
      <w:pPr>
        <w:pStyle w:val="Heading1"/>
      </w:pPr>
      <w:r>
        <w:t>Sources accessed 17 October 2026</w:t>
      </w:r>
    </w:p>
    <w:p>
      <w:hyperlink r:id="rId9">
        <w:r>
          <w:rPr>
            <w:color w:val="000000"/>
            <w:rFonts w:ascii="Times New Roman" w:hAnsi="Times New Roman"/>
            <w:sz w:val="24"/>
          </w:rPr>
          <w:t>[1] Backtesting.py API documentation. Orders, strategy and account settings.</w:t>
        </w:r>
      </w:hyperlink>
    </w:p>
    <w:p>
      <w:hyperlink r:id="rId10">
        <w:r>
          <w:rPr>
            <w:color w:val="000000"/>
            <w:rFonts w:ascii="Times New Roman" w:hAnsi="Times New Roman"/>
            <w:sz w:val="24"/>
          </w:rPr>
          <w:t>[2] Backtesting.py 0.6.5 distribution. Pinned package and source inspected.</w:t>
        </w:r>
      </w:hyperlink>
    </w:p>
    <w:p>
      <w:hyperlink r:id="rId11">
        <w:r>
          <w:rPr>
            <w:color w:val="000000"/>
            <w:rFonts w:ascii="Times New Roman" w:hAnsi="Times New Roman"/>
            <w:sz w:val="24"/>
          </w:rPr>
          <w:t>[3] Cam Nugent. S&amp;P 500 stock data. Kaggle.</w:t>
        </w:r>
      </w:hyperlink>
    </w:p>
    <w:sectPr w:rsidR="00FC693F" w:rsidRPr="0006063C" w:rsidSect="00034616">
      <w:footerReference w:type="default" r:id="rId12"/>
      <w:pgSz w:w="12240" w:h="15840"/>
      <w:pgMar w:top="1080" w:right="1224" w:bottom="1080" w:left="122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80" w:before="0"/>
    </w:pPr>
    <w:rPr>
      <w:rFonts w:ascii="Times New Roman" w:hAnsi="Times New Roman" w:eastAsia="Times New Roman" w:cs="Times New Roman"/>
      <w:color w:val="000000"/>
      <w:sz w:val="24"/>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4"/>
      <w:u w:val="none"/>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sz w:val="24"/>
      <w:u w:val="none"/>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4"/>
      <w:u w:val="none"/>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sz w:val="24"/>
      <w:u w:val="none"/>
    </w:rPr>
  </w:style>
  <w:style w:type="paragraph" w:styleId="Heading1">
    <w:name w:val="heading 1"/>
    <w:basedOn w:val="Normal"/>
    <w:next w:val="Normal"/>
    <w:link w:val="Heading1Char"/>
    <w:uiPriority w:val="9"/>
    <w:qFormat/>
    <w:rsid w:val="00FC693F"/>
    <w:pPr>
      <w:keepNext/>
      <w:keepLines/>
      <w:widowControl/>
      <w:spacing w:before="100" w:after="80" w:line="480" w:lineRule="auto"/>
      <w:outlineLvl w:val="0"/>
    </w:pPr>
    <w:rPr>
      <w:rFonts w:ascii="Times New Roman" w:hAnsi="Times New Roman" w:eastAsia="Times New Roman" w:cs="Times New Roman"/>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0" w:after="80" w:line="480" w:lineRule="auto"/>
      <w:outlineLvl w:val="1"/>
    </w:pPr>
    <w:rPr>
      <w:rFonts w:ascii="Times New Roman" w:hAnsi="Times New Roman" w:eastAsia="Times New Roman" w:cs="Times New Roman"/>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sz w:val="24"/>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sz w:val="24"/>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sz w:val="24"/>
      <w:u w:val="non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sz w:val="24"/>
      <w:u w:val="none"/>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sz w:val="24"/>
      <w:u w:val="none"/>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4"/>
      <w:szCs w:val="20"/>
      <w:u w:val="none"/>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4"/>
      <w:szCs w:val="20"/>
      <w:u w:val="none"/>
    </w:rPr>
  </w:style>
  <w:style w:type="character" w:default="1" w:styleId="DefaultParagraphFont">
    <w:name w:val="Default Paragraph Font"/>
    <w:uiPriority w:val="1"/>
    <w:semiHidden/>
    <w:unhideWhenUsed/>
    <w:rPr>
      <w:rFonts w:ascii="Times New Roman" w:hAnsi="Times New Roman" w:eastAsia="Times New Roman" w:cs="Times New Roman"/>
      <w:color w:val="000000"/>
      <w:sz w:val="24"/>
      <w:u w:val="non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sz w:val="24"/>
      <w:u w:val="none"/>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4"/>
      <w:szCs w:val="28"/>
      <w:u w:val="none"/>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4"/>
      <w:szCs w:val="26"/>
      <w:u w:val="none"/>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sz w:val="24"/>
      <w:u w:val="none"/>
    </w:rPr>
  </w:style>
  <w:style w:type="paragraph" w:styleId="Title">
    <w:name w:val="Title"/>
    <w:basedOn w:val="Normal"/>
    <w:next w:val="Normal"/>
    <w:link w:val="TitleChar"/>
    <w:uiPriority w:val="10"/>
    <w:qFormat/>
    <w:rsid w:val="00FC693F"/>
    <w:pPr>
      <w:keepNext/>
      <w:widowControl/>
      <w:spacing w:after="80" w:line="480" w:lineRule="auto" w:before="0"/>
      <w:contextualSpacing/>
    </w:pPr>
    <w:rPr>
      <w:rFonts w:ascii="Times New Roman" w:hAnsi="Times New Roman" w:eastAsia="Times New Roman" w:cs="Times New Roman"/>
      <w:b/>
      <w:color w:val="000000"/>
      <w:spacing w:val="5"/>
      <w:kern w:val="28"/>
      <w:sz w:val="24"/>
      <w:szCs w:val="52"/>
      <w:u w:val="none"/>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24"/>
      <w:szCs w:val="52"/>
      <w:u w:val="none"/>
    </w:rPr>
  </w:style>
  <w:style w:type="paragraph" w:styleId="Subtitle">
    <w:name w:val="Subtitle"/>
    <w:basedOn w:val="Normal"/>
    <w:next w:val="Normal"/>
    <w:link w:val="SubtitleChar"/>
    <w:uiPriority w:val="11"/>
    <w:qFormat/>
    <w:rsid w:val="00FC693F"/>
    <w:pPr>
      <w:widowControl/>
      <w:numPr>
        <w:ilvl w:val="1"/>
      </w:numPr>
      <w:spacing w:line="480" w:lineRule="auto" w:after="80" w:before="0"/>
    </w:pPr>
    <w:rPr>
      <w:rFonts w:ascii="Times New Roman" w:hAnsi="Times New Roman" w:eastAsia="Times New Roman" w:cs="Times New Roman"/>
      <w:i w:val="0"/>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u w:val="none"/>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sz w:val="24"/>
      <w:u w:val="none"/>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4"/>
      <w:u w:val="none"/>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sz w:val="24"/>
      <w:u w:val="none"/>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sz w:val="24"/>
      <w:u w:val="none"/>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sz w:val="24"/>
      <w:u w:val="none"/>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24"/>
      <w:szCs w:val="16"/>
      <w:u w:val="none"/>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24"/>
      <w:szCs w:val="16"/>
      <w:u w:val="none"/>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sz w:val="24"/>
      <w:u w:val="none"/>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sz w:val="24"/>
      <w:u w:val="none"/>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sz w:val="24"/>
      <w:u w:val="none"/>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4"/>
      <w:u w:val="none"/>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sz w:val="24"/>
      <w:u w:val="none"/>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sz w:val="24"/>
      <w:u w:val="none"/>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4"/>
      <w:u w:val="none"/>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sz w:val="24"/>
      <w:u w:val="none"/>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sz w:val="24"/>
      <w:u w:val="none"/>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sz w:val="24"/>
      <w:u w:val="none"/>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sz w:val="24"/>
      <w:u w:val="none"/>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sz w:val="24"/>
      <w:u w:val="non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4"/>
      <w:szCs w:val="20"/>
      <w:u w:val="none"/>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4"/>
      <w:szCs w:val="20"/>
      <w:u w:val="none"/>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sz w:val="24"/>
      <w:u w:val="none"/>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sz w:val="24"/>
      <w:u w:val="none"/>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sz w:val="24"/>
      <w:u w:val="none"/>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sz w:val="24"/>
      <w:u w:val="none"/>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sz w:val="24"/>
      <w:u w:val="none"/>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sz w:val="24"/>
      <w:u w:val="none"/>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4"/>
      <w:szCs w:val="20"/>
      <w:u w:val="none"/>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4"/>
      <w:szCs w:val="20"/>
      <w:u w:val="none"/>
    </w:rPr>
  </w:style>
  <w:style w:type="paragraph" w:styleId="Caption">
    <w:name w:val="caption"/>
    <w:basedOn w:val="Normal"/>
    <w:next w:val="Normal"/>
    <w:uiPriority w:val="35"/>
    <w:semiHidden/>
    <w:unhideWhenUsed/>
    <w:qFormat/>
    <w:rsid w:val="00FC693F"/>
    <w:pPr>
      <w:widowControl/>
      <w:spacing w:line="480" w:lineRule="auto" w:after="80" w:before="0"/>
    </w:pPr>
    <w:rPr>
      <w:rFonts w:ascii="Times New Roman" w:hAnsi="Times New Roman" w:eastAsia="Times New Roman" w:cs="Times New Roman"/>
      <w:b/>
      <w:bCs/>
      <w:i w:val="0"/>
      <w:color w:val="000000"/>
      <w:sz w:val="24"/>
      <w:szCs w:val="18"/>
      <w:u w:val="none"/>
    </w:rPr>
  </w:style>
  <w:style w:type="character" w:styleId="Strong">
    <w:name w:val="Strong"/>
    <w:basedOn w:val="DefaultParagraphFont"/>
    <w:uiPriority w:val="22"/>
    <w:qFormat/>
    <w:rsid w:val="00FC693F"/>
    <w:rPr>
      <w:rFonts w:ascii="Times New Roman" w:hAnsi="Times New Roman" w:eastAsia="Times New Roman" w:cs="Times New Roman"/>
      <w:b/>
      <w:bCs/>
      <w:color w:val="000000"/>
      <w:sz w:val="24"/>
      <w:u w:val="none"/>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sz w:val="24"/>
      <w:u w:val="none"/>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sz w:val="24"/>
      <w:u w:val="none"/>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sz w:val="24"/>
      <w:u w:val="none"/>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sz w:val="24"/>
      <w:u w:val="none"/>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sz w:val="24"/>
      <w:u w:val="none"/>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sz w:val="24"/>
      <w:u w:val="non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sz w:val="24"/>
      <w:u w:val="non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sz w:val="24"/>
      <w:u w:val="none"/>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sz w:val="24"/>
      <w:u w:val="none"/>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kernc.github.io/backtesting.py/doc/backtesting/backtesting.html" TargetMode="External"/><Relationship Id="rId10" Type="http://schemas.openxmlformats.org/officeDocument/2006/relationships/hyperlink" Target="https://pypi.org/project/backtesting/0.6.5/" TargetMode="External"/><Relationship Id="rId11" Type="http://schemas.openxmlformats.org/officeDocument/2006/relationships/hyperlink" Target="https://www.kaggle.com/datasets/camnugent/sandp500"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Alternative Backtesting Engine Integration</dc:title>
  <dc:subject>Independent execution and profit loss reconciliation</dc:subject>
  <dc:creator>Tailai Li</dc:creator>
  <cp:keywords/>
  <dc:description/>
  <cp:lastModifiedBy/>
  <cp:revision>1</cp:revision>
  <dcterms:created xsi:type="dcterms:W3CDTF">2013-12-23T23:15:00Z</dcterms:created>
  <dcterms:modified xsi:type="dcterms:W3CDTF">2013-12-23T23:15:00Z</dcterms:modified>
  <cp:category/>
</cp:coreProperties>
</file>