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rPr>
      </w:pPr>
      <w:r>
        <w:rPr>
          <w:rFonts w:hint="default"/>
          <w:b/>
          <w:bCs/>
        </w:rPr>
        <w:t>Methodology</w:t>
      </w:r>
      <w:bookmarkStart w:id="0" w:name="_GoBack"/>
      <w:bookmarkEnd w:id="0"/>
      <w:r>
        <w:rPr>
          <w:rFonts w:hint="default"/>
          <w:b/>
          <w:bCs/>
        </w:rPr>
        <w:br w:type="textWrapping"/>
      </w:r>
      <w:r>
        <w:rPr>
          <w:rFonts w:hint="default"/>
          <w:b/>
          <w:bCs/>
        </w:rPr>
        <w:br w:type="textWrapping"/>
      </w:r>
      <w:r>
        <w:rPr>
          <w:rFonts w:hint="default"/>
          <w:b/>
          <w:bCs/>
        </w:rPr>
        <w:t>Sequence Processing and ASV Inference</w:t>
      </w:r>
    </w:p>
    <w:p>
      <w:pPr>
        <w:rPr>
          <w:rFonts w:hint="default"/>
        </w:rPr>
      </w:pPr>
      <w:r>
        <w:rPr>
          <w:rFonts w:hint="default"/>
        </w:rPr>
        <w:t>Raw paired-end FASTQ reads were processed within a reproducible Snakemakeworkflow using QIIME 2 (v2024.10; Bolyen et al., 2019). Reads were denoised,quality-filtered, and merged using DADA2 (Callahan et al., 2016), with forwardand reverse reads truncated at 220 bp. Chimeric sequences were removed using theconsensus method. Sequences classified as mitochondria, chloroplast, orunassigned were excluded, yielding a filtered feature table of 2,544 ASVs across</w:t>
      </w:r>
      <w:r>
        <w:rPr>
          <w:rFonts w:hint="default"/>
        </w:rPr>
        <w:t xml:space="preserve"> </w:t>
      </w:r>
      <w:r>
        <w:rPr>
          <w:rFonts w:hint="default"/>
        </w:rPr>
        <w:t>86 samples.</w:t>
      </w:r>
    </w:p>
    <w:p>
      <w:pPr>
        <w:rPr>
          <w:rFonts w:hint="default"/>
          <w:b/>
          <w:bCs/>
        </w:rPr>
      </w:pPr>
    </w:p>
    <w:p>
      <w:pPr>
        <w:rPr>
          <w:rFonts w:hint="default"/>
          <w:b/>
          <w:bCs/>
        </w:rPr>
      </w:pPr>
      <w:r>
        <w:rPr>
          <w:rFonts w:hint="default"/>
          <w:b/>
          <w:bCs/>
        </w:rPr>
        <w:t>Taxonomic Classification and Phylogenetic Tree</w:t>
      </w:r>
    </w:p>
    <w:p>
      <w:pPr>
        <w:rPr>
          <w:rFonts w:hint="default"/>
        </w:rPr>
      </w:pPr>
      <w:r>
        <w:rPr>
          <w:rFonts w:hint="default"/>
        </w:rPr>
        <w:t>ASVs were classified against the SILVA 138.1 reference database (99% identity)using a naive Bayes classifier (qiime feature-classifier classify-sklearn).A rooted phylogenetic tree was inferred using MAFFT alignment, masked, andFastTree 2 maximum-likelihood estimation, with midpoint rooting.</w:t>
      </w:r>
    </w:p>
    <w:p>
      <w:pPr>
        <w:rPr>
          <w:rFonts w:hint="default"/>
        </w:rPr>
      </w:pPr>
    </w:p>
    <w:p>
      <w:pPr>
        <w:rPr>
          <w:rFonts w:hint="default"/>
          <w:b/>
          <w:bCs/>
        </w:rPr>
      </w:pPr>
      <w:r>
        <w:rPr>
          <w:rFonts w:hint="default"/>
          <w:b/>
          <w:bCs/>
        </w:rPr>
        <w:t>Diversity Analysis</w:t>
      </w:r>
    </w:p>
    <w:p>
      <w:pPr>
        <w:rPr>
          <w:rFonts w:hint="default"/>
        </w:rPr>
      </w:pPr>
      <w:r>
        <w:rPr>
          <w:rFonts w:hint="default"/>
        </w:rPr>
        <w:t>Alpha diversity (Faith's PD, Shannon index, Pielou's evenness, observed ASVs)and beta diversity (Bray-Curtis, Jaccard, unweighted and weighted UniFrac,Aitchison) were computed from a rarefied feature table (depth auto-set to theminimum sample count retaining 83 of 86 samples). Between-group differences inalpha diversity were tested using the Wilcoxon rank-sum test; a multivariableGeneral Linear Model (GLM: metric ~ Stunting + Sex + Caries_Severity) providedcovariate-adjusted effect size estimates. Beta diversity group differences wereassessed by PERMANOVA (vegan::adonis2, 999 permutations) using the samecovariate-adjusted formula. All p-values were corrected using the Benjamini–Hochberg (BH) FDR procedure (significance threshold: q &lt; 0.05).</w:t>
      </w:r>
    </w:p>
    <w:p>
      <w:pPr>
        <w:rPr>
          <w:rFonts w:hint="default"/>
        </w:rPr>
      </w:pPr>
    </w:p>
    <w:p>
      <w:pPr>
        <w:rPr>
          <w:rFonts w:hint="default"/>
          <w:b/>
          <w:bCs/>
        </w:rPr>
      </w:pPr>
      <w:r>
        <w:rPr>
          <w:rFonts w:hint="default"/>
          <w:b/>
          <w:bCs/>
        </w:rPr>
        <w:t>Composition and Differential Abundance</w:t>
      </w:r>
    </w:p>
    <w:p>
      <w:pPr>
        <w:rPr>
          <w:rFonts w:hint="default"/>
        </w:rPr>
      </w:pPr>
      <w:r>
        <w:rPr>
          <w:rFonts w:hint="default"/>
        </w:rPr>
        <w:t>Taxonomic relative abundance was visualised at phylum (Level 2), class(Level 3), and genus (Level 6) levels. Differentially abundant taxa betweenstunting groups were identified at the phylum and genus levels using ANCOM-BC(Lin &amp; Peddada, 2020; formula: Stunting + Sex + Caries_Severity; reference:Stunting = No), and explored with LEfSe (LDA cutoff = 2.0; Segata et al.,2011) as a complementary biomarker discovery approach.</w:t>
      </w:r>
    </w:p>
    <w:p>
      <w:pPr>
        <w:rPr>
          <w:rFonts w:hint="default"/>
        </w:rPr>
      </w:pPr>
    </w:p>
    <w:p>
      <w:pPr>
        <w:rPr>
          <w:rFonts w:hint="default"/>
          <w:b/>
          <w:bCs/>
        </w:rPr>
      </w:pPr>
      <w:r>
        <w:rPr>
          <w:rFonts w:hint="default"/>
          <w:b/>
          <w:bCs/>
        </w:rPr>
        <w:t>Core Microbiome</w:t>
      </w:r>
    </w:p>
    <w:p>
      <w:pPr>
        <w:rPr>
          <w:rFonts w:hint="default"/>
        </w:rPr>
      </w:pPr>
      <w:r>
        <w:rPr>
          <w:rFonts w:hint="default"/>
        </w:rPr>
        <w:t>The core microbiome was defined as ASVs present in ≥50% of samples withineach stunting group. Between-group differences in core membership were assessedper ASV using Fisher's Exact Test (2 groups) with BH FDR correction. Resultswere visualised using UpSetR intersection diagrams and prevalence bar plots.</w:t>
      </w:r>
    </w:p>
    <w:p>
      <w:pPr>
        <w:rPr>
          <w:rFonts w:hint="default"/>
        </w:rPr>
      </w:pPr>
    </w:p>
    <w:p>
      <w:pPr>
        <w:rPr>
          <w:rFonts w:hint="default"/>
          <w:b/>
          <w:bCs/>
        </w:rPr>
      </w:pPr>
      <w:r>
        <w:rPr>
          <w:rFonts w:hint="default"/>
          <w:b/>
          <w:bCs/>
        </w:rPr>
        <w:t>Functional Prediction</w:t>
      </w:r>
    </w:p>
    <w:p>
      <w:pPr>
        <w:rPr>
          <w:rFonts w:hint="default"/>
        </w:rPr>
      </w:pPr>
      <w:r>
        <w:rPr>
          <w:rFonts w:hint="default"/>
        </w:rPr>
        <w:t>Predicted MetaCyc pathway abundances were inferred from the ASV table usingPICRUSt2 (Douglas et al., 2020). Differentially abundant pathways betweengroups were identified using the Kruskal-Wallis test with BH FDR correction.</w:t>
      </w:r>
    </w:p>
    <w:p>
      <w:pPr>
        <w:rPr>
          <w:rFonts w:hint="default"/>
        </w:rPr>
      </w:pPr>
    </w:p>
    <w:p>
      <w:pPr>
        <w:rPr>
          <w:rFonts w:hint="default"/>
          <w:b/>
          <w:bCs/>
        </w:rPr>
      </w:pPr>
      <w:r>
        <w:rPr>
          <w:rFonts w:hint="default"/>
          <w:b/>
          <w:bCs/>
        </w:rPr>
        <w:t>References</w:t>
      </w:r>
    </w:p>
    <w:p>
      <w:pPr>
        <w:rPr>
          <w:rFonts w:hint="default"/>
        </w:rPr>
      </w:pPr>
      <w:r>
        <w:rPr>
          <w:rFonts w:hint="default"/>
        </w:rPr>
        <w:t>Bolyen, E. et al. (2019). Nat Biotechnol 37:852–857.</w:t>
      </w:r>
    </w:p>
    <w:p>
      <w:pPr>
        <w:rPr>
          <w:rFonts w:hint="default"/>
        </w:rPr>
      </w:pPr>
      <w:r>
        <w:rPr>
          <w:rFonts w:hint="default"/>
        </w:rPr>
        <w:t>Callahan, B.J. et al. (2016). Nat Methods 13:581–583.</w:t>
      </w:r>
    </w:p>
    <w:p>
      <w:pPr>
        <w:rPr>
          <w:rFonts w:hint="default"/>
        </w:rPr>
      </w:pPr>
      <w:r>
        <w:rPr>
          <w:rFonts w:hint="default"/>
        </w:rPr>
        <w:t>Douglas, G.M. et al. (2020). Nat Biotechnol 38:685–688.</w:t>
      </w:r>
    </w:p>
    <w:p>
      <w:pPr>
        <w:rPr>
          <w:rFonts w:hint="default"/>
        </w:rPr>
      </w:pPr>
      <w:r>
        <w:rPr>
          <w:rFonts w:hint="default"/>
        </w:rPr>
        <w:t>Lin, H. &amp; Peddada, S.D. (2020). Nat Commun 11:3514.</w:t>
      </w:r>
    </w:p>
    <w:p>
      <w:pPr>
        <w:rPr>
          <w:rFonts w:hint="default"/>
        </w:rPr>
      </w:pPr>
      <w:r>
        <w:rPr>
          <w:rFonts w:hint="default"/>
        </w:rPr>
        <w:t>Segata, N. et al. (2011). Genome Biol 12:R60.</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75926"/>
    <w:rsid w:val="7FB75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2026-05-07T12:09:00Z</dcterms:created>
  <dc:creator>kmu</dc:creator>
  <cp:lastModifiedBy>kmu</cp:lastModifiedBy>
  <dcterms:modified xsi:type="dcterms:W3CDTF">2026-05-07T12:21:07Z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