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Age and Timing of Decompressive Hemicraniectomy for Acute Ischemic Stroke: Insights from the National Inpatient Sample (2017–2022)</w:t>
      </w:r>
    </w:p>
    <w:p>
      <w:pPr>
        <w:pStyle w:val="Subtitle"/>
      </w:pPr>
      <w:r>
        <w:t xml:space="preserve">Analysis for the RCOP NIS Neuro-14</w:t>
      </w:r>
    </w:p>
    <w:p>
      <w:pPr>
        <w:pStyle w:val="Author"/>
      </w:pPr>
      <w:r>
        <w:t xml:space="preserve">Taimor Mohammed Khan</w:t>
      </w:r>
    </w:p>
    <w:bookmarkStart w:id="22" w:name="preamble"/>
    <w:p>
      <w:pPr>
        <w:pStyle w:val="Heading2"/>
      </w:pPr>
      <w:r>
        <w:t xml:space="preserve">Preamble:</w:t>
      </w:r>
    </w:p>
    <w:p>
      <w:pPr>
        <w:numPr>
          <w:ilvl w:val="0"/>
          <w:numId w:val="1001"/>
        </w:numPr>
      </w:pPr>
      <w:r>
        <w:rPr>
          <w:b/>
          <w:bCs/>
        </w:rPr>
        <w:t xml:space="preserve">Reference Studies:</w:t>
      </w:r>
    </w:p>
    <w:p>
      <w:pPr>
        <w:pStyle w:val="Compact"/>
        <w:numPr>
          <w:ilvl w:val="1"/>
          <w:numId w:val="1002"/>
        </w:numPr>
      </w:pPr>
      <w:hyperlink r:id="rId20">
        <w:r>
          <w:rPr>
            <w:rStyle w:val="Hyperlink"/>
          </w:rPr>
          <w:t xml:space="preserve">Dasenbrock et al., 2016</w:t>
        </w:r>
      </w:hyperlink>
    </w:p>
    <w:p>
      <w:pPr>
        <w:pStyle w:val="Compact"/>
        <w:numPr>
          <w:ilvl w:val="1"/>
          <w:numId w:val="1002"/>
        </w:numPr>
      </w:pPr>
      <w:hyperlink r:id="rId21">
        <w:r>
          <w:rPr>
            <w:rStyle w:val="Hyperlink"/>
          </w:rPr>
          <w:t xml:space="preserve">Dasenbrock et al., 2017</w:t>
        </w:r>
      </w:hyperlink>
    </w:p>
    <w:p>
      <w:pPr>
        <w:numPr>
          <w:ilvl w:val="0"/>
          <w:numId w:val="1001"/>
        </w:numPr>
      </w:pPr>
      <w:r>
        <w:rPr>
          <w:b/>
          <w:bCs/>
        </w:rPr>
        <w:t xml:space="preserve">Study Objective:</w:t>
      </w:r>
      <w:r>
        <w:t xml:space="preserve"> </w:t>
      </w:r>
      <w:r>
        <w:t xml:space="preserve">To evaluate in-hospital outcomes among adults undergoing decompressive hemicraniectomy (DHC) for acute ischemic stroke (AIS), stratified by age group and timing of surgery, using data from the National Inpatient Sample (2017–2022). Specifically, this study examines whether older age and delayed surgical decompression are independently associated with higher in-hospital mortality, worse discharge disposition, longer length of stay, and higher rates of procedural and medical complications in a contemporary U.S. inpatient cohort.</w:t>
      </w:r>
    </w:p>
    <w:p>
      <w:pPr>
        <w:numPr>
          <w:ilvl w:val="0"/>
          <w:numId w:val="1001"/>
        </w:numPr>
      </w:pPr>
      <w:r>
        <w:rPr>
          <w:b/>
          <w:bCs/>
        </w:rPr>
        <w:t xml:space="preserve">Data Source:</w:t>
      </w:r>
      <w:r>
        <w:t xml:space="preserve"> </w:t>
      </w:r>
      <w:r>
        <w:t xml:space="preserve">Retrospective cross-sectional analysis using the National Inpatient Sample (NIS) from 2017 to 2022. The NIS, part of the Healthcare Cost and Utilization Project (HCUP), provides a stratified, nationally representative sample of U.S. inpatient hospitalizations across all payers and geographic regions.</w:t>
      </w:r>
    </w:p>
    <w:p>
      <w:pPr>
        <w:numPr>
          <w:ilvl w:val="0"/>
          <w:numId w:val="1001"/>
        </w:numPr>
      </w:pPr>
      <w:r>
        <w:rPr>
          <w:b/>
          <w:bCs/>
        </w:rPr>
        <w:t xml:space="preserve">Cohort Definition:</w:t>
      </w:r>
      <w:r>
        <w:t xml:space="preserve"> </w:t>
      </w:r>
      <w:r>
        <w:t xml:space="preserve">Hospitalizations were included if they met the following criteria</w:t>
      </w:r>
    </w:p>
    <w:p>
      <w:pPr>
        <w:numPr>
          <w:ilvl w:val="1"/>
          <w:numId w:val="1003"/>
        </w:numPr>
      </w:pPr>
      <w:r>
        <w:t xml:space="preserve">Age ≥18 years</w:t>
      </w:r>
    </w:p>
    <w:p>
      <w:pPr>
        <w:numPr>
          <w:ilvl w:val="1"/>
          <w:numId w:val="1003"/>
        </w:numPr>
      </w:pPr>
      <w:r>
        <w:t xml:space="preserve">Non-elective admission</w:t>
      </w:r>
    </w:p>
    <w:p>
      <w:pPr>
        <w:numPr>
          <w:ilvl w:val="1"/>
          <w:numId w:val="1003"/>
        </w:numPr>
      </w:pPr>
      <w:r>
        <w:t xml:space="preserve">Primary or secondary diagnosis of acute ischemic stroke (AIS), identified using ICD-10-CM code: (I63.x)</w:t>
      </w:r>
    </w:p>
    <w:p>
      <w:pPr>
        <w:numPr>
          <w:ilvl w:val="1"/>
          <w:numId w:val="1003"/>
        </w:numPr>
      </w:pPr>
      <w:r>
        <w:t xml:space="preserve">Performance of decompressive hemicraniectomy (DHC), identified using ICD-10-PCS codes: 00N00ZZ, 00N70ZZ, 0NB00ZZ, 0NT10ZZ, 0NT30ZZ, 0NT40ZZ, 0NT50ZZ, 0NT60ZZ</w:t>
      </w:r>
    </w:p>
    <w:p>
      <w:pPr>
        <w:numPr>
          <w:ilvl w:val="1"/>
          <w:numId w:val="1003"/>
        </w:numPr>
      </w:pPr>
      <w:r>
        <w:t xml:space="preserve">Exclusions: Patients with concurrent diagnoses of head trauma, subarachnoid hemorrhage, intracranial tumors, arteriovenous malformation, venous sinus thrombosis, Moyamoya disease, intracranial abscess, cerebral arteritis, extra-axial hematoma, unruptured cerebral aneurysm, vertebral artery dissection, or vertebrobasilar infarction</w:t>
      </w:r>
    </w:p>
    <w:p>
      <w:pPr>
        <w:numPr>
          <w:ilvl w:val="0"/>
          <w:numId w:val="1001"/>
        </w:numPr>
      </w:pPr>
      <w:r>
        <w:rPr>
          <w:b/>
          <w:bCs/>
        </w:rPr>
        <w:t xml:space="preserve">Exposure of Interest:</w:t>
      </w:r>
    </w:p>
    <w:p>
      <w:pPr>
        <w:numPr>
          <w:ilvl w:val="1"/>
          <w:numId w:val="1004"/>
        </w:numPr>
      </w:pPr>
      <w:r>
        <w:t xml:space="preserve">Age group (18–50, 51–60, 61–70, &gt;70 years)</w:t>
      </w:r>
    </w:p>
    <w:p>
      <w:pPr>
        <w:numPr>
          <w:ilvl w:val="1"/>
          <w:numId w:val="1004"/>
        </w:numPr>
      </w:pPr>
      <w:r>
        <w:t xml:space="preserve">Timing of DHC (Early ≤48 hrs vs. Delayed &gt;48 hrs)</w:t>
      </w:r>
    </w:p>
    <w:p>
      <w:pPr>
        <w:numPr>
          <w:ilvl w:val="1"/>
          <w:numId w:val="1000"/>
        </w:numPr>
      </w:pPr>
      <w:r>
        <w:t xml:space="preserve">Surgical timing was derived from the NIS PRDAYn variables, which record the number of days elapsed between hospital admission and each procedure, where admission day = 0. To identify the timing of DHC specifically, each of the 25 procedure day variables (PRDAY1 – PRDAY25) was evaluated against the corresponding procedure code slot (I10_PR1 – I10_PR25). The procedure day corresponding to the DHC code was extracted and used to classify timing as Early (≤1 day from admission) or Delayed (&gt;1 day from admission).</w:t>
      </w:r>
    </w:p>
    <w:p>
      <w:pPr>
        <w:numPr>
          <w:ilvl w:val="0"/>
          <w:numId w:val="1001"/>
        </w:numPr>
      </w:pPr>
      <w:r>
        <w:rPr>
          <w:b/>
          <w:bCs/>
        </w:rPr>
        <w:t xml:space="preserve">Outcomes of Interest:</w:t>
      </w:r>
    </w:p>
    <w:p>
      <w:pPr>
        <w:numPr>
          <w:ilvl w:val="1"/>
          <w:numId w:val="1005"/>
        </w:numPr>
      </w:pPr>
      <w:r>
        <w:rPr>
          <w:b/>
          <w:bCs/>
        </w:rPr>
        <w:t xml:space="preserve">Primary Outcome:</w:t>
      </w:r>
    </w:p>
    <w:p>
      <w:pPr>
        <w:pStyle w:val="Compact"/>
        <w:numPr>
          <w:ilvl w:val="2"/>
          <w:numId w:val="1006"/>
        </w:numPr>
      </w:pPr>
      <w:r>
        <w:t xml:space="preserve">In-hospital mortality</w:t>
      </w:r>
    </w:p>
    <w:p>
      <w:pPr>
        <w:numPr>
          <w:ilvl w:val="1"/>
          <w:numId w:val="1005"/>
        </w:numPr>
      </w:pPr>
      <w:r>
        <w:rPr>
          <w:b/>
          <w:bCs/>
        </w:rPr>
        <w:t xml:space="preserve">Secondary Outcomes:</w:t>
      </w:r>
    </w:p>
    <w:p>
      <w:pPr>
        <w:numPr>
          <w:ilvl w:val="2"/>
          <w:numId w:val="1007"/>
        </w:numPr>
      </w:pPr>
      <w:r>
        <w:t xml:space="preserve">Discharge disposition (Home vs. Non-home)</w:t>
      </w:r>
    </w:p>
    <w:p>
      <w:pPr>
        <w:numPr>
          <w:ilvl w:val="2"/>
          <w:numId w:val="1007"/>
        </w:numPr>
      </w:pPr>
      <w:r>
        <w:t xml:space="preserve">Length of stay (days)</w:t>
      </w:r>
    </w:p>
    <w:p>
      <w:pPr>
        <w:numPr>
          <w:ilvl w:val="2"/>
          <w:numId w:val="1007"/>
        </w:numPr>
      </w:pPr>
      <w:r>
        <w:t xml:space="preserve">Prolonged mechanical ventilation (&gt;96 hrs)</w:t>
      </w:r>
    </w:p>
    <w:p>
      <w:pPr>
        <w:numPr>
          <w:ilvl w:val="2"/>
          <w:numId w:val="1007"/>
        </w:numPr>
      </w:pPr>
      <w:r>
        <w:t xml:space="preserve">Pneumonia</w:t>
      </w:r>
    </w:p>
    <w:p>
      <w:pPr>
        <w:numPr>
          <w:ilvl w:val="0"/>
          <w:numId w:val="1001"/>
        </w:numPr>
      </w:pPr>
      <w:r>
        <w:rPr>
          <w:b/>
          <w:bCs/>
        </w:rPr>
        <w:t xml:space="preserve">Covariates for Adjustment:</w:t>
      </w:r>
      <w:r>
        <w:t xml:space="preserve"> </w:t>
      </w:r>
      <w:r>
        <w:t xml:space="preserve">All models adjusted for the following</w:t>
      </w:r>
    </w:p>
    <w:p>
      <w:pPr>
        <w:numPr>
          <w:ilvl w:val="1"/>
          <w:numId w:val="1008"/>
        </w:numPr>
      </w:pPr>
      <w:r>
        <w:rPr>
          <w:b/>
          <w:bCs/>
        </w:rPr>
        <w:t xml:space="preserve">Demographic Factors:</w:t>
      </w:r>
      <w:r>
        <w:t xml:space="preserve"> </w:t>
      </w:r>
      <w:r>
        <w:t xml:space="preserve">Age group (categorical), sex, race/ethnicity</w:t>
      </w:r>
    </w:p>
    <w:p>
      <w:pPr>
        <w:numPr>
          <w:ilvl w:val="1"/>
          <w:numId w:val="1008"/>
        </w:numPr>
      </w:pPr>
      <w:r>
        <w:rPr>
          <w:b/>
          <w:bCs/>
        </w:rPr>
        <w:t xml:space="preserve">Socioeconomic Factors:</w:t>
      </w:r>
      <w:r>
        <w:t xml:space="preserve"> </w:t>
      </w:r>
      <w:r>
        <w:t xml:space="preserve">Primary payer, ZIP code–based income quartile</w:t>
      </w:r>
    </w:p>
    <w:p>
      <w:pPr>
        <w:numPr>
          <w:ilvl w:val="1"/>
          <w:numId w:val="1008"/>
        </w:numPr>
      </w:pPr>
      <w:r>
        <w:rPr>
          <w:b/>
          <w:bCs/>
        </w:rPr>
        <w:t xml:space="preserve">Clinical Factors:</w:t>
      </w:r>
      <w:r>
        <w:t xml:space="preserve"> </w:t>
      </w:r>
      <w:r>
        <w:t xml:space="preserve">Elixhauser comorbidity score, atrial fibrillation, carotid dissection, carotid stenosis, hypercoagulable state, hyperlipidemia, tobacco use</w:t>
      </w:r>
    </w:p>
    <w:p>
      <w:pPr>
        <w:numPr>
          <w:ilvl w:val="1"/>
          <w:numId w:val="1008"/>
        </w:numPr>
      </w:pPr>
      <w:r>
        <w:rPr>
          <w:b/>
          <w:bCs/>
        </w:rPr>
        <w:t xml:space="preserve">Hospital-Level Factors:</w:t>
      </w:r>
      <w:r>
        <w:t xml:space="preserve"> </w:t>
      </w:r>
      <w:r>
        <w:t xml:space="preserve">Hospital region, hospital bed size, hospital location and teaching status</w:t>
      </w:r>
    </w:p>
    <w:p>
      <w:pPr>
        <w:numPr>
          <w:ilvl w:val="0"/>
          <w:numId w:val="1001"/>
        </w:numPr>
      </w:pPr>
      <w:r>
        <w:rPr>
          <w:b/>
          <w:bCs/>
        </w:rPr>
        <w:t xml:space="preserve">Statistical Methods:</w:t>
      </w:r>
    </w:p>
    <w:p>
      <w:pPr>
        <w:numPr>
          <w:ilvl w:val="1"/>
          <w:numId w:val="1009"/>
        </w:numPr>
      </w:pPr>
      <w:r>
        <w:rPr>
          <w:b/>
          <w:bCs/>
        </w:rPr>
        <w:t xml:space="preserve">Univariable Analysis:</w:t>
      </w:r>
    </w:p>
    <w:p>
      <w:pPr>
        <w:numPr>
          <w:ilvl w:val="2"/>
          <w:numId w:val="1010"/>
        </w:numPr>
      </w:pPr>
      <w:r>
        <w:t xml:space="preserve">Categorical variables: Compared using Pearson’s chi-square test with Rao &amp; Scott adjustment</w:t>
      </w:r>
    </w:p>
    <w:p>
      <w:pPr>
        <w:numPr>
          <w:ilvl w:val="2"/>
          <w:numId w:val="1010"/>
        </w:numPr>
      </w:pPr>
      <w:r>
        <w:t xml:space="preserve">Continuous variables: Analyzed using the design-based Kruskal–Wallis test, a non-parametric alternative suitable for survey-weighted data</w:t>
      </w:r>
    </w:p>
    <w:p>
      <w:pPr>
        <w:numPr>
          <w:ilvl w:val="1"/>
          <w:numId w:val="1009"/>
        </w:numPr>
      </w:pPr>
      <w:r>
        <w:rPr>
          <w:b/>
          <w:bCs/>
        </w:rPr>
        <w:t xml:space="preserve">Multivariable Analysis:</w:t>
      </w:r>
    </w:p>
    <w:p>
      <w:pPr>
        <w:numPr>
          <w:ilvl w:val="2"/>
          <w:numId w:val="1011"/>
        </w:numPr>
      </w:pPr>
      <w:r>
        <w:t xml:space="preserve">Binary outcomes (in-hospital mortality, discharge disposition, prolonged mechanical ventilation, pneumonia): Survey-weighted logistic regression using the</w:t>
      </w:r>
      <w:r>
        <w:t xml:space="preserve"> </w:t>
      </w:r>
      <w:r>
        <w:rPr>
          <w:rStyle w:val="VerbatimChar"/>
        </w:rPr>
        <w:t xml:space="preserve">quasibinomial</w:t>
      </w:r>
      <w:r>
        <w:t xml:space="preserve"> </w:t>
      </w:r>
      <w:r>
        <w:t xml:space="preserve">family</w:t>
      </w:r>
    </w:p>
    <w:p>
      <w:pPr>
        <w:numPr>
          <w:ilvl w:val="2"/>
          <w:numId w:val="1011"/>
        </w:numPr>
      </w:pPr>
      <w:r>
        <w:t xml:space="preserve">Continuous outcomes (length of stay): Survey-weighted linear regression using the</w:t>
      </w:r>
      <w:r>
        <w:t xml:space="preserve"> </w:t>
      </w:r>
      <w:r>
        <w:rPr>
          <w:rStyle w:val="VerbatimChar"/>
        </w:rPr>
        <w:t xml:space="preserve">gaussian</w:t>
      </w:r>
      <w:r>
        <w:t xml:space="preserve"> </w:t>
      </w:r>
      <w:r>
        <w:t xml:space="preserve">family</w:t>
      </w:r>
    </w:p>
    <w:p>
      <w:pPr>
        <w:numPr>
          <w:ilvl w:val="2"/>
          <w:numId w:val="1011"/>
        </w:numPr>
      </w:pPr>
      <w:r>
        <w:t xml:space="preserve">Results reported as adjusted odds ratios (aORs) or beta coefficients with 95% confidence intervals</w:t>
      </w:r>
    </w:p>
    <w:p>
      <w:pPr>
        <w:numPr>
          <w:ilvl w:val="0"/>
          <w:numId w:val="1001"/>
        </w:numPr>
      </w:pPr>
      <w:r>
        <w:rPr>
          <w:b/>
          <w:bCs/>
        </w:rPr>
        <w:t xml:space="preserve">Software:</w:t>
      </w:r>
      <w:r>
        <w:t xml:space="preserve"> </w:t>
      </w:r>
      <w:r>
        <w:t xml:space="preserve">All statistical analyses were performed using the R Statistical Language (Version 4.5.0; R Foundation for Statistical Computing, Vienna, Austria), incorporating survey-weighted procedures via the</w:t>
      </w:r>
      <w:r>
        <w:t xml:space="preserve"> </w:t>
      </w:r>
      <w:r>
        <w:rPr>
          <w:i/>
          <w:iCs/>
        </w:rPr>
        <w:t xml:space="preserve">survey</w:t>
      </w:r>
      <w:r>
        <w:t xml:space="preserve"> </w:t>
      </w:r>
      <w:r>
        <w:t xml:space="preserve">package to account for the complex sampling design of NIS.</w:t>
      </w:r>
    </w:p>
    <w:bookmarkEnd w:id="22"/>
    <w:bookmarkStart w:id="25" w:name="baseline-characteristics"/>
    <w:p>
      <w:pPr>
        <w:pStyle w:val="Heading2"/>
      </w:pPr>
      <w:r>
        <w:t xml:space="preserve">Baseline Characteristics:</w:t>
      </w:r>
    </w:p>
    <w:bookmarkStart w:id="23" w:name="table-1a-stratified-by-age-group"/>
    <w:p>
      <w:pPr>
        <w:pStyle w:val="Heading3"/>
      </w:pPr>
      <w:r>
        <w:t xml:space="preserve">Table 1A: Stratified by Age Group</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12,475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18–50 years</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4,460</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51–60 years</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3,570</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61–70 years</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3,225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&gt;70 years</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1,220</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Timing of surgery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Early Surgery (≤48 hrs)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9,285 (76%)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3,510 (80%)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2,540 (73%)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2,380 (76%)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855 (72%)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Delayed Surgery (&gt;48 hrs)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2,920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860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960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765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335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5,220 (42%)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1,995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1,330 (37%)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1,165 (36%)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730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7,255 (58%)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2,465 (55%)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2,240 (63%)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2,060 (64%)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490 (40%)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Race/ethnicity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6,300 (53%)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2,220 (52%)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1,700 (49%)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1,760 (57%)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620 (53%)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350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85 (7.3%)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3,195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1,185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965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775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270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1,600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585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500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350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165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530 (4.4%)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145 (3.4%)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205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150 (4.8%)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Residential income quartile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4,275 (35%)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1,540 (35%)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1,350 (39%)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975 (31%)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410 (34%)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3,235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1,195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900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840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300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2,750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1,000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685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825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240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1,975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650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565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510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250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Expected primary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3,375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1,790 (40%)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1,125 (32%)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410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3,390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285 (6.4%)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495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1,550 (48%)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1,060 (87%)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1,360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580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455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295 (9.2%)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4,320 (35%)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1,790 (40%)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1,490 (42%)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960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 (6.6%)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2,795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1,040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830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645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280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2,120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660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660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560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240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5,290 (42%)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1,940 (43%)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1,505 (42%)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1,405 (44%)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440 (36%)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2,270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820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575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615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260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 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9,315 (75%)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3,375 (76%)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2,625 (74%)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2,400 (74%)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915 (75%)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2,460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860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750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645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205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700 (5.6%)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225 (5.0%)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195 (5.5%)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180 (5.6%)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 and 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130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 (0.9%)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740 (5.9%)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200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250 (7.0%)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225 (7.0%)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 (5.3%)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11,605 (93%)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4,220 (95%)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3,295 (92%)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2,950 (91%)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1,140 (93%)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Elixhauser comorbidity score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5.11 (1.97)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4.76 (1.99)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5.17 (1.92)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5.36 (1.87)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5.53 (2.06)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Atrial fibrillation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2,315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315 (7.1%)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555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1,000 (31%)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445 (36%)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Carotid dissection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855 (6.9%)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575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170 (4.8%)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Carotid stenosis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1,810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620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570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395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225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Hypercoagulable 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735 (5.9%)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480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160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Hyperlipidemia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4,580 (37%)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1,020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1,485 (42%)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1,510 (47%)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565 (46%)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Tobacco use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4,005 (32%)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1,585 (36%)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1,190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1,005 (31%)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225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7"/>
          </w:tcPr>
          <w:p>
            <w:pPr>
              <w:spacing w:before="0" w:after="60"/>
              <w:keepNext/>
            </w:pPr>
            <w:r>
              <w:rPr>
                <w:vertAlign w:val="superscript"/>
                <w:i/>
                <w:rFonts w:ascii="Calibri" w:hAnsi="Calibri"/>
                <w:sz w:val="20"/>
              </w:rPr>
              <w:t xml:space="default">1</w:t>
            </w:r>
            <w:r>
              <w:rPr>
                <w:rFonts w:ascii="Calibri" w:hAnsi="Calibri"/>
                <w:sz w:val="20"/>
              </w:rPr>
              <w:t xml:space="preserve">n (%); Mean (SD)</w:t>
            </w:r>
          </w:p>
        </w:tc>
      </w:tr>
      <w:tr>
        <w:trPr>
          <w:cantSplit/>
        </w:trPr>
        <w:tc>
          <w:tcPr>
            <w:gridSpan w:val="7"/>
          </w:tcPr>
          <w:p>
            <w:pPr>
              <w:spacing w:before="0" w:after="60"/>
              <w:keepNext/>
            </w:pPr>
            <w:r>
              <w:rPr>
                <w:vertAlign w:val="superscript"/>
                <w:i/>
                <w:rFonts w:ascii="Calibri" w:hAnsi="Calibri"/>
                <w:sz w:val="20"/>
              </w:rPr>
              <w:t xml:space="default">2</w:t>
            </w:r>
            <w:r>
              <w:rPr>
                <w:rFonts w:ascii="Calibri" w:hAnsi="Calibri"/>
                <w:sz w:val="20"/>
              </w:rPr>
              <w:t xml:space="preserve">Pearson's X^2: Rao &amp; Scott adjustment; Design-based KruskalWallis test</w:t>
            </w:r>
          </w:p>
        </w:tc>
      </w:tr>
    </w:tbl>
    <w:p>
      <w:pPr>
        <w:pStyle w:val="FirstParagraph"/>
      </w:pPr>
      <w:r>
        <w:rPr>
          <w:i/>
          <w:iCs/>
        </w:rPr>
        <w:t xml:space="preserve">— Suppressed due to unweighted count ≤10, per HCUP Data Use Agreement guidelines.</w:t>
      </w:r>
    </w:p>
    <w:bookmarkEnd w:id="23"/>
    <w:bookmarkStart w:id="24" w:name="table-1b-stratified-by-timing-of-surgery"/>
    <w:p>
      <w:pPr>
        <w:pStyle w:val="Heading3"/>
      </w:pPr>
      <w:r>
        <w:t xml:space="preserve">Table 1B: Stratified by Timing of Surgery</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12,205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Early Surgery (≤48 hrs)</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9,285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Delayed Surgery (&gt;48 hrs)</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2,920</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group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18–50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4,370 (36%)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3,510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860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51–60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3,500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2,540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960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61–70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3,145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2,380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765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&gt;70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1,190 (9.8%)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855 (9.2%)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335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5,135 (42%)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3,930 (42%)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1,205 (41%)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7,070 (58%)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5,355 (58%)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1,715 (59%)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Race/ethnicity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6,120 (52%)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4,680 (53%)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1,440 (51%)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350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240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 (3.9%)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3,155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2,370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785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1,575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1,185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390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505 (4.3%)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410 (4.6%)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95 (3.4%)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Residential income quartile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4,140 (35%)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3,075 (34%)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1,065 (37%)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3,160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2,375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785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2,720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2,145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575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1,950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1,495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455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Expected primary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3,295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2,510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785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3,295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2,360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935 (32%)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1,335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1,015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320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4,250 (35%)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3,380 (36%)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870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2,710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2,060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650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2,110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1,585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525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5,120 (42%)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3,915 (42%)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1,205 (41%)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2,265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1,725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540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 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9,085 (74%)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6,980 (75%)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2,105 (72%)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2,430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1,805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625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690 (5.7%)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500 (5.4%)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190 (6.5%)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 and 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 (0.9%)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 (0.8%)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735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555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180 (6.2%)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11,360 (93%)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8,660 (93%)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2,700 (92%)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Elixhauser comorbidity score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5.13 (1.97)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5.07 (1.96)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5.31 (1.97)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Atrial fibrillation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2,270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1,730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540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Carotid dissection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845 (6.9%)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725 (7.8%)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 (4.1%)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Carotid stenosis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1,785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1,380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405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Hypercoagulable state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725 (5.9%)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575 (6.2%)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150 (5.1%)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Hyperlipidemia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4,490 (37%)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3,310 (36%)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1,180 (40%)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Tobacco use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3,950 (32%)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3,120 (34%)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830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0.019</w: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preserve">n (%); Mean (SD)</w:t>
            </w:r>
          </w:p>
        </w:tc>
      </w:tr>
      <w:tr>
        <w:trPr>
          <w:cantSplit/>
        </w:trPr>
        <w:tc>
          <w:tcPr>
            <w:gridSpan w:val="5"/>
          </w:tcPr>
          <w:p>
            <w:pPr>
              <w:spacing w:before="0" w:after="60"/>
              <w:keepNext/>
            </w:pPr>
            <w:r>
              <w:rPr>
                <w:vertAlign w:val="superscript"/>
                <w:i/>
                <w:rFonts w:ascii="Calibri" w:hAnsi="Calibri"/>
                <w:sz w:val="20"/>
              </w:rPr>
              <w:t xml:space="default">2</w:t>
            </w:r>
            <w:r>
              <w:rPr>
                <w:rFonts w:ascii="Calibri" w:hAnsi="Calibri"/>
                <w:sz w:val="20"/>
              </w:rPr>
              <w:t xml:space="preserve">Pearson's X^2: Rao &amp; Scott adjustment; Design-based KruskalWallis test</w:t>
            </w:r>
          </w:p>
        </w:tc>
      </w:tr>
    </w:tbl>
    <w:p>
      <w:pPr>
        <w:pStyle w:val="FirstParagraph"/>
      </w:pPr>
      <w:r>
        <w:rPr>
          <w:i/>
          <w:iCs/>
        </w:rPr>
        <w:t xml:space="preserve">— Suppressed due to unweighted count ≤10, per HCUP Data Use Agreement guidelines.</w:t>
      </w:r>
    </w:p>
    <w:bookmarkEnd w:id="24"/>
    <w:bookmarkEnd w:id="25"/>
    <w:bookmarkStart w:id="28" w:name="univariable-analysis"/>
    <w:p>
      <w:pPr>
        <w:pStyle w:val="Heading2"/>
      </w:pPr>
      <w:r>
        <w:t xml:space="preserve">Univariable Analysis:</w:t>
      </w:r>
    </w:p>
    <w:bookmarkStart w:id="26" w:name="table-2a-stratified-by-age-group"/>
    <w:p>
      <w:pPr>
        <w:pStyle w:val="Heading3"/>
      </w:pPr>
      <w:r>
        <w:t xml:space="preserve">Table 2A: Stratified by Age Group</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12,475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18–50 years</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4,460</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51–60 years</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3,570</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61–70 years</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3,225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&gt;70 years</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1,220</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In-hospital mortality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2,970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870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805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895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400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Discharge Disposition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Home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785 (6.3%)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390 (8.7%)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210 (5.9%)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 (3.6%)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 (5.7%)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Non-home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11,690 (94%)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4,070 (91%)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3,360 (94%)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3,110 (96%)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1,150 (94%)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Length of stay (days)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 (10,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 (11,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 (10,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 (9,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 (8,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Prolonged Mechanical Ventilation (&gt;96 hrs)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6,255 (50%)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2,205 (49%)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1,695 (47%)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1,675 (52%)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680 (56%)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Pneumonia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4,860 (39%)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1,680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1,325 (37%)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1,395 (43%)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460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0.073</w:t>
            </w:r>
          </w:p>
        </w:tc>
      </w:tr>
      <w:tr>
        <w:trPr>
          <w:cantSplit/>
        </w:trPr>
        <w:tc>
          <w:tcPr>
            <w:gridSpan w:val="7"/>
          </w:tcPr>
          <w:p>
            <w:pPr>
              <w:spacing w:before="0" w:after="60"/>
              <w:keepNext/>
            </w:pPr>
            <w:r>
              <w:rPr>
                <w:vertAlign w:val="superscript"/>
                <w:i/>
                <w:rFonts w:ascii="Calibri" w:hAnsi="Calibri"/>
                <w:sz w:val="20"/>
              </w:rPr>
              <w:t xml:space="default">1</w:t>
            </w:r>
            <w:r>
              <w:rPr>
                <w:rFonts w:ascii="Calibri" w:hAnsi="Calibri"/>
                <w:sz w:val="20"/>
              </w:rPr>
              <w:t xml:space="preserve">n (%); Median (Q1, Q3)</w:t>
            </w:r>
          </w:p>
        </w:tc>
      </w:tr>
      <w:tr>
        <w:trPr>
          <w:cantSplit/>
        </w:trPr>
        <w:tc>
          <w:tcPr>
            <w:gridSpan w:val="7"/>
          </w:tcPr>
          <w:p>
            <w:pPr>
              <w:spacing w:before="0" w:after="60"/>
              <w:keepNext/>
            </w:pPr>
            <w:r>
              <w:rPr>
                <w:vertAlign w:val="superscript"/>
                <w:i/>
                <w:rFonts w:ascii="Calibri" w:hAnsi="Calibri"/>
                <w:sz w:val="20"/>
              </w:rPr>
              <w:t xml:space="default">2</w:t>
            </w:r>
            <w:r>
              <w:rPr>
                <w:rFonts w:ascii="Calibri" w:hAnsi="Calibri"/>
                <w:sz w:val="20"/>
              </w:rPr>
              <w:t xml:space="preserve">Pearson's X^2: Rao &amp; Scott adjustment; Design-based KruskalWallis test</w:t>
            </w:r>
          </w:p>
        </w:tc>
      </w:tr>
    </w:tbl>
    <w:bookmarkEnd w:id="26"/>
    <w:bookmarkStart w:id="27" w:name="table-2b-stratified-by-timing-of-surgery"/>
    <w:p>
      <w:pPr>
        <w:pStyle w:val="Heading3"/>
      </w:pPr>
      <w:r>
        <w:t xml:space="preserve">Table 2B: Stratified by Timing of Surgery</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12,205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Early Surgery (≤48 hrs)</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9,285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Delayed Surgery (&gt;48 hrs)</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2,920</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In-hospital mortality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2,900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2,270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630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Discharge Disposition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Home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755 (6.2%)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545 (5.9%)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210 (7.2%)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Non-home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11,450 (94%)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8,740 (94%)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2,710 (93%)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Length of stay (days)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 (10,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 (9,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 (13,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Prolonged Mechanical Ventilation (&gt;96 hrs)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6,140 (50%)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4,635 (50%)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1,505 (52%)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Pneumonia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4,725 (39%)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3,575 (39%)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1,150 (39%)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preserve">n (%); Median (Q1, Q3)</w:t>
            </w:r>
          </w:p>
        </w:tc>
      </w:tr>
      <w:tr>
        <w:trPr>
          <w:cantSplit/>
        </w:trPr>
        <w:tc>
          <w:tcPr>
            <w:gridSpan w:val="5"/>
          </w:tcPr>
          <w:p>
            <w:pPr>
              <w:spacing w:before="0" w:after="60"/>
              <w:keepNext/>
            </w:pPr>
            <w:r>
              <w:rPr>
                <w:vertAlign w:val="superscript"/>
                <w:i/>
                <w:rFonts w:ascii="Calibri" w:hAnsi="Calibri"/>
                <w:sz w:val="20"/>
              </w:rPr>
              <w:t xml:space="default">2</w:t>
            </w:r>
            <w:r>
              <w:rPr>
                <w:rFonts w:ascii="Calibri" w:hAnsi="Calibri"/>
                <w:sz w:val="20"/>
              </w:rPr>
              <w:t xml:space="preserve">Pearson's X^2: Rao &amp; Scott adjustment; Design-based KruskalWallis test</w:t>
            </w:r>
          </w:p>
        </w:tc>
      </w:tr>
    </w:tbl>
    <w:bookmarkEnd w:id="27"/>
    <w:bookmarkEnd w:id="28"/>
    <w:bookmarkStart w:id="33" w:name="multivariable-logistic-regression"/>
    <w:p>
      <w:pPr>
        <w:pStyle w:val="Heading2"/>
      </w:pPr>
      <w:r>
        <w:t xml:space="preserve">Multivariable Logistic Regression:</w:t>
      </w:r>
    </w:p>
    <w:bookmarkStart w:id="29" w:name="in-hospital-mortality"/>
    <w:p>
      <w:pPr>
        <w:pStyle w:val="Heading3"/>
      </w:pPr>
      <w:r>
        <w:t xml:space="preserve">In-hospital Mortality:</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group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18–50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51–60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0.98, 1.65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0.073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61–70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1.24, 2.29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&gt;70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1.28, 2.98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Timing of surgery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Early Surgery (≤48 hrs)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Delayed Surgery (&gt;48 hrs)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0.65, 1.07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0.96, 1.46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0.56, 1.63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0.72, 1.21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0.73, 1.37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0.38, 1.10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Residential income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0.85, 1.45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0.96, 1.68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0.094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0.78, 1.49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Expected primary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0.88, 1.66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1.10, 2.19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0.70, 1.24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0.89, 1.77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0.72, 1.28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0.98, 1.89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0.94, 1.57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0.59, 1.42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 and 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0.28, 2.28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0.28, 2.07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Elixhauser score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0.91, 1.01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Atrial Fibrillation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0.86, 1.45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Carotid Dissection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0.63, 1.48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Carotid Stenosis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0.81, 1.42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Hypercoagubility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0.81, 1.90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Hyperlipidemia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0.85, 1.30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Tobacco Use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0.87, 1.33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29"/>
    <w:bookmarkStart w:id="30" w:name="discharge-disposition"/>
    <w:p>
      <w:pPr>
        <w:pStyle w:val="Heading3"/>
      </w:pPr>
      <w:r>
        <w:t xml:space="preserve">Discharge Disposition:</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group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18–50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51–60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0.96, 2.41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0.072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61–70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1.42, 4.20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&gt;70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0.54, 2.68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Timing of surgery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Early Surgery (≤48 hrs)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Delayed Surgery (&gt;48 hrs)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0.54, 1.21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0.66, 1.32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0.21, 1.40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0.87, 2.20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0.37, 0.93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0.28, 1.43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Residential income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0.66, 1.54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0.86, 2.38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0.94, 3.46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0.078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Expected primary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0.84, 2.89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0.32, 0.83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0.92, 2.33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0.55, 2.23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0.38, 1.09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0.42, 1.56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0.30, 0.68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0.25, 1.07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0.077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 and 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0.17, 18.8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0.10, 6.98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Elixhauser score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1.05, 1.29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Atrial Fibrillation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0.49, 1.30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Carotid Dissection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0.99, 6.31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Carotid Stenosis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0.56, 1.49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Hypercoagubility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0.48, 2.24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Hyperlipidemia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0.64, 1.48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Tobacco Use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0.48, 1.01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0.058</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30"/>
    <w:bookmarkStart w:id="31" w:name="prolonged-mechanical-ventilation"/>
    <w:p>
      <w:pPr>
        <w:pStyle w:val="Heading3"/>
      </w:pPr>
      <w:r>
        <w:t xml:space="preserve">Prolonged Mechanical Ventilation:</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group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18–50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51–60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0.71, 1.11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61–70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0.85, 1.43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&gt;70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0.86, 1.83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Timing of surgery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Early Surgery (≤48 hrs)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Delayed Surgery (&gt;48 hrs)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0.84, 1.24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0.87, 1.23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0.58, 1.55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1.10, 1.67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1.04, 1.77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0.67, 1.61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Residential income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0.73, 1.16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0.73, 1.21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0.56, 0.99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Expected primary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0.56, 0.98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0.51, 0.95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0.63, 1.00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0.50, 0.89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0.54, 0.88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0.54, 0.98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0.66, 1.02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0.073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0.97, 2.08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 and 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0.37, 2.62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0.32, 2.04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Elixhauser score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1.10, 1.21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Atrial Fibrillation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0.81, 1.30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Carotid Dissection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0.91, 1.78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Carotid Stenosis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0.75, 1.22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Hypercoagubility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0.49, 1.06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0.093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Hyperlipidemia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0.69, 0.99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Tobacco Use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0.51, 0.76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31"/>
    <w:bookmarkStart w:id="32" w:name="pneumonia"/>
    <w:p>
      <w:pPr>
        <w:pStyle w:val="Heading3"/>
      </w:pPr>
      <w:r>
        <w:t xml:space="preserve">Pneumonia:</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group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18–50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51–60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0.78, 1.21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61–70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1.13, 1.89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&gt;70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1.02, 2.21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Timing of surgery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Early Surgery (≤48 hrs)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Delayed Surgery (&gt;48 hrs)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0.79, 1.20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1.55, 2.23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0.50, 1.41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0.96, 1.52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0.80, 1.38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0.68, 1.66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Residential income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0.92, 1.46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0.86, 1.40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0.80, 1.41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Expected primary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0.44, 0.78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0.45, 0.85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0.56, 0.87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0.76, 1.37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0.70, 1.14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0.65, 1.17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0.86, 1.35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0.85, 1.76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 and 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0.29, 1.97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0.25, 1.46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Elixhauser score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1.05, 1.16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Atrial Fibrillation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0.69, 1.11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Carotid Dissection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0.94, 1.86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Carotid Stenosis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0.59, 0.98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Hypercoagubility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0.65, 1.39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Hyperlipidemia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0.58, 0.85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Tobacco Use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0.52, 0.77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32"/>
    <w:bookmarkEnd w:id="33"/>
    <w:bookmarkStart w:id="35" w:name="multivariable-linear-regression"/>
    <w:p>
      <w:pPr>
        <w:pStyle w:val="Heading2"/>
      </w:pPr>
      <w:r>
        <w:t xml:space="preserve">Multivariable Linear Regression:</w:t>
      </w:r>
    </w:p>
    <w:bookmarkStart w:id="34" w:name="length-of-stay"/>
    <w:p>
      <w:pPr>
        <w:pStyle w:val="Heading3"/>
      </w:pPr>
      <w:r>
        <w:t xml:space="preserve">Length of Stay:</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Beta</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group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18–50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51–60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61–70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&gt;70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-5.7, 0.98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Timing of surgery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Early Surgery (≤48 hrs)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Delayed Surgery (&gt;48 hrs)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2.9, 7.4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-0.54, 2.7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 or Pacific Islander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-2.4, 9.6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4.3, 8.7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-0.16, 4.5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0.56, 12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Residential income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0.07, 4.4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-0.77, 4.0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-0.46, 5.1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Expected primary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 -6.5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 -6.6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-5.1, 0.17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 -0.18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-4.8, 3.5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 and 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-4.9, 9.6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Elixhauser score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0.56, 1.4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Atrial Fibrillation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Carotid Dissection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0.13, 7.0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Carotid Stenosis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 -0.46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Hypercoagubility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Hyperlipidemia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Tobacco Use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4"/>
          </w:tcPr>
          <w:p>
            <w:pPr>
              <w:spacing w:before="0" w:after="60"/>
              <w:keepNext/>
            </w:pPr>
            <w:r>
              <w:rPr>
                <w:rFonts w:ascii="Calibri" w:hAnsi="Calibri"/>
                <w:sz w:val="20"/>
              </w:rPr>
              <w:t xml:space="preserve">Abbreviation: CI = Confidence Interval</w:t>
            </w:r>
          </w:p>
        </w:tc>
      </w:tr>
    </w:tbl>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link.springer.com/article/10.1007/s12028-016-0287-1" TargetMode="External" /><Relationship Type="http://schemas.openxmlformats.org/officeDocument/2006/relationships/hyperlink" Id="rId21" Target="https://www.ahajournals.org/doi/10.1161/STROKEAHA.116.014727" TargetMode="External" /></Relationships>
</file>

<file path=word/_rels/footnotes.xml.rels><?xml version="1.0" encoding="UTF-8"?><Relationships xmlns="http://schemas.openxmlformats.org/package/2006/relationships"><Relationship Type="http://schemas.openxmlformats.org/officeDocument/2006/relationships/hyperlink" Id="rId20" Target="https://link.springer.com/article/10.1007/s12028-016-0287-1" TargetMode="External" /><Relationship Type="http://schemas.openxmlformats.org/officeDocument/2006/relationships/hyperlink" Id="rId21" Target="https://www.ahajournals.org/doi/10.1161/STROKEAHA.116.01472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 and Timing of Decompressive Hemicraniectomy for Acute Ischemic Stroke: Insights from the National Inpatient Sample (2017–2022)</dc:title>
  <dc:creator>Taimor Mohammed Khan</dc:creator>
  <cp:keywords/>
  <dcterms:created xsi:type="dcterms:W3CDTF">2026-05-25T23:21:19Z</dcterms:created>
  <dcterms:modified xsi:type="dcterms:W3CDTF">2026-05-25T23:21:19Z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Analysis for the RCOP NIS Neuro-14</vt:lpwstr>
  </property>
  <property fmtid="{D5CDD505-2E9C-101B-9397-08002B2CF9AE}" pid="12" name="toc-title">
    <vt:lpwstr>Table of contents</vt:lpwstr>
  </property>
</Properties>
</file>