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Projeto de infraestrutura de redes do prédio administrativo</w:t>
      </w:r>
    </w:p>
    <w:p>
      <w:pPr>
        <w:pStyle w:val="Subtitle"/>
      </w:pPr>
      <w:r>
        <w:rPr>
          <w:b w:val="0"/>
        </w:rPr>
        <w:t>Terminal Portuário   Problema 1   UNDB 4.0</w:t>
      </w:r>
    </w:p>
    <w:p>
      <w:r>
        <w:rPr>
          <w:b w:val="0"/>
        </w:rPr>
        <w:t>Disciplina Infraestrutura de Redes  |  Professor Arlley Costa</w:t>
        <w:br/>
        <w:t>Semestre 2026.2  |  16 de setembro de 2026</w:t>
      </w:r>
    </w:p>
    <w:p>
      <w:pPr>
        <w:pStyle w:val="Heading1"/>
      </w:pPr>
      <w:r>
        <w:t>1 Proposta e escopo</w:t>
      </w:r>
    </w:p>
    <w:p>
      <w:r>
        <w:rPr>
          <w:b w:val="0"/>
        </w:rPr>
        <w:t>Propomos uma rede local em estrela hierárquica para o prédio administrativo, com cabeamento Cat6, WiFi corporativo e de visitantes, telefonia IP, videoconferência e separação lógica dos serviços. A infraestrutura atende às exigências do enunciado e reserva capacidade para 40 postos de trabalho, com 32 notebooks e 8 desktops. O edifício se conecta por fibra óptica ao backbone do terminal. [1]</w:t>
      </w:r>
    </w:p>
    <w:p>
      <w:r>
        <w:rPr>
          <w:b w:val="0"/>
        </w:rPr>
        <w:t>O projeto contempla 108 tomadas de rede, três switches de acesso com 48 portas PoE+ cada, um switch de agregação de 10 Gb/s, quatro access points, 46 telefones, quatro conjuntos de videoconferência, três impressoras, oito câmeras, três controles de acesso, três servidores físicos e um storage. Os quantitativos adicionais aos itens expressos no enunciado são decisões de dimensionamento detalhadas a seguir.</w:t>
      </w:r>
    </w:p>
    <w:p>
      <w:r>
        <w:rPr>
          <w:b w:val="0"/>
        </w:rPr>
        <w:t>Este documento corresponde à contribuição do prédio administrativo para o trabalho da equipe. A portaria externa TP, o silo, a pera ferroviária e a inspetoria com CCO no píer têm projetos próprios. Não se confundem a recepção do administrativo e a portaria geral do terminal. A rede externa, os serviços compartilhados e a saída de Internet precisam ser consolidados uma única vez pela equipe.</w:t>
      </w:r>
    </w:p>
    <w:p>
      <w:pPr>
        <w:pStyle w:val="Heading2"/>
      </w:pPr>
      <w:r>
        <w:t>Metodologia aplicada</w:t>
      </w:r>
    </w:p>
    <w:p>
      <w:r>
        <w:rPr>
          <w:b w:val="0"/>
        </w:rPr>
        <w:t>Adotamos uma metodologia top down: identificar atividades e requisitos do negócio; levantar ambientes e usuários; definir serviços e regras de comunicação; dimensionar a rede física; selecionar materiais; estimar investimento e riscos; e validar o resultado. O levantamento parte da planta e do enunciado, e a implantação deve confirmar medidas, percursos e condições ambientais antes da compra. [1–4]</w:t>
      </w:r>
    </w:p>
    <w:p>
      <w:pPr>
        <w:pStyle w:val="Heading2"/>
      </w:pPr>
      <w:r>
        <w:t>Organização para a entrega</w:t>
      </w:r>
    </w:p>
    <w:p>
      <w:r>
        <w:rPr>
          <w:b w:val="0"/>
        </w:rPr>
        <w:t>As seções 2 a 5 apresentam requisitos, dimensionamento e cabeamento; as seções 6 a 10 tratam das topologias, serviços e riscos; as seções 11 a 13 reúnem materiais e orçamento; e as seções 14 e 15 orientam implantação, integração e validação. As fontes são identificadas na seção 16.</w:t>
      </w:r>
    </w:p>
    <w:p>
      <w:r>
        <w:rPr>
          <w:b/>
        </w:rPr>
        <w:t>A solução é um projeto acadêmico preliminar. Os desenhos de instalação e a memória de cálculo são a base para produzir o as built após a execução e os testes. Não há declaração de instalação, certificação ou simulação concluída.</w:t>
      </w:r>
    </w:p>
    <w:p>
      <w:pPr>
        <w:pStyle w:val="Heading1"/>
        <w:pageBreakBefore/>
      </w:pPr>
      <w:r>
        <w:t>2 Requisitos e leitura da planta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6840"/>
      </w:tblGrid>
      <w:tr>
        <w:trPr>
          <w:cantSplit/>
          <w:tblHeader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Exigência do enunciado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Solução proposta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Um equipamento de videoconferência por sala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Quatro salas identificadas na planta e quatro kits.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Um telefone por mesa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40 postos dimensionados + 4 salas de reunião + mesa coletiva do staff + mesa principal de descompressão = 46 telefones.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80% notebooks e 20% desktops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32 notebooks e 8 desktops para a capacidade de 40 postos.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Três impressoras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PRN01 staff administrativo; PRN02 diretoria; PRN03 recepção.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Controle de acesso principal e áreas críticas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AC01 entrada do administrativo; AC02 diretoria; AC03 CPD.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Seis câmeras internas e duas externas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C01–C04 staff; C05 descompressão; C06 recepção; C07–C08 fachada da recepção.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Três servidores e um storage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Três equipamentos físicos, com funções separadas em VMs, e um NAS.</w:t>
            </w:r>
          </w:p>
        </w:tc>
      </w:tr>
      <w:tr>
        <w:trPr>
          <w:cantSplit/>
        </w:trPr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Acesso WiFi e rede cabeada</w:t>
            </w:r>
          </w:p>
        </w:tc>
        <w:tc>
          <w:tcPr>
            <w:tcW w:type="dxa" w:w="68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Quatro APs com uplink cabeado e duas tomadas por posto.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Contagem dos postos de trabalho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016"/>
      </w:tblGrid>
      <w:tr>
        <w:trPr>
          <w:cantSplit/>
          <w:tblHeader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Área visível na planta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Postos</w:t>
            </w:r>
          </w:p>
        </w:tc>
      </w:tr>
      <w:tr>
        <w:trPr>
          <w:cantSplit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Duas ilhas horizontais do staff à esquerda  |  11 + 11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Duas ilhas verticais do staff à direita  |  7 + 7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Mesa individual de supervisão no staff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Diretoria e recepção  |  1 + 1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Total interpretado na planta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39</w:t>
            </w:r>
          </w:p>
        </w:tc>
      </w:tr>
      <w:tr>
        <w:trPr>
          <w:cantSplit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Reserva proposta de um posto adicional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2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Capacidade adotada para o projeto</w:t>
            </w:r>
          </w:p>
        </w:tc>
        <w:tc>
          <w:tcPr>
            <w:tcW w:type="dxa" w:w="20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A contagem é uma interpretação visual da planta da página 4 do enunciado, não uma quantidade explicitamente informada pelo professor. Cadeiras de visitantes e de reunião não foram transformadas em postos fixos. O quadragésimo posto é reserva de expansão no staff; a sua posição depende da validação do mobiliário.</w:t>
      </w:r>
    </w:p>
    <w:p>
      <w:r>
        <w:rPr>
          <w:b w:val="0"/>
        </w:rPr>
        <w:t>Para “cada mesa”, foram incluídas as mesas de trabalho e as seis mesas de uso compartilhado descritas acima. Mesas laterais de apoio, balcão de café e bancada da copa não recebem ramal nesta proposta. Se a equipe interpretar a exigência de modo mais amplo, acrescentará um telefone e uma tomada por mesa adicional. Os minicomputadores dos kits de videoconferência são aparelhos dedicados às salas e não entram na proporção de computadores pessoais.</w:t>
      </w:r>
    </w:p>
    <w:p>
      <w:pPr>
        <w:pStyle w:val="Heading1"/>
        <w:pageBreakBefore/>
      </w:pPr>
      <w:r>
        <w:t>3 Pontos de rede e capacidade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3672"/>
        <w:gridCol w:w="2232"/>
      </w:tblGrid>
      <w:tr>
        <w:trPr>
          <w:cantSplit/>
          <w:tblHeader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Destino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Cálculo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Pontos horizontais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Postos de trabalho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40 × 2 tomadas independentes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Telefone das salas de reunião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 × 1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Telefone da mesa coletiva e descompressão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 × 1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Videoconferência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 × 1 para o mini PC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Impressoras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 × 1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Câmeras IP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8 × 1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Controle de acesso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 × 1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Access points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 × 1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3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Total</w:t>
            </w:r>
          </w:p>
        </w:tc>
        <w:tc>
          <w:tcPr>
            <w:tcW w:type="dxa" w:w="36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40 dados + 46 voz + 22 demais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108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Cada posto recebe um cabo para dados e outro para o telefone; não dependemos da porta de passagem do telefone para o computador. Os notebooks podem usar WiFi ou uma dock Ethernet. A infraestrutura cabeada atende aos 40 postos mesmo que apenas oito sejam desktops. Dois dos 108 pontos correspondem ao posto reservado de expansão.</w:t>
      </w:r>
    </w:p>
    <w:p>
      <w:pPr>
        <w:pStyle w:val="Heading2"/>
      </w:pPr>
      <w:r>
        <w:t>Portas dos switches e patch panels</w:t>
      </w:r>
    </w:p>
    <w:p>
      <w:r>
        <w:rPr>
          <w:b w:val="0"/>
        </w:rPr>
        <w:t>Além das 108 tomadas, há sete conexões RJ45 locais no rack: três interfaces de gerenciamento dos servidores, uma do storage, uma do PABX, uma do controlador WiFi e uma do nobreak. Logo, são 115 portas previstas. Com margem de 25%, 115 × 1,25 = 143,75; adotam-se três switches de 48 portas, totalizando 144 portas e 29 livres após ativação completa. Seis patch panels de 24 portas oferecem 144 terminações para 108 cabos, com 36 posições vagas.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7128"/>
        <w:gridCol w:w="1584"/>
      </w:tblGrid>
      <w:tr>
        <w:trPr>
          <w:cantSplit/>
          <w:tblHeader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Switch</w:t>
            </w:r>
          </w:p>
        </w:tc>
        <w:tc>
          <w:tcPr>
            <w:tcW w:type="dxa" w:w="712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Distribuição dos pontos horizontais</w:t>
            </w:r>
          </w:p>
        </w:tc>
        <w:tc>
          <w:tcPr>
            <w:tcW w:type="dxa" w:w="158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RJ45 usadas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SW ADM 01</w:t>
            </w:r>
          </w:p>
        </w:tc>
        <w:tc>
          <w:tcPr>
            <w:tcW w:type="dxa" w:w="71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H001–H044, H094–H095 e H105–H106</w:t>
            </w:r>
          </w:p>
        </w:tc>
        <w:tc>
          <w:tcPr>
            <w:tcW w:type="dxa" w:w="15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SW ADM 02</w:t>
            </w:r>
          </w:p>
        </w:tc>
        <w:tc>
          <w:tcPr>
            <w:tcW w:type="dxa" w:w="71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H045–H076, H091, H096–H097, H103 e H107</w:t>
            </w:r>
          </w:p>
        </w:tc>
        <w:tc>
          <w:tcPr>
            <w:tcW w:type="dxa" w:w="15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SW ADM 03</w:t>
            </w:r>
          </w:p>
        </w:tc>
        <w:tc>
          <w:tcPr>
            <w:tcW w:type="dxa" w:w="71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H077–H090, H092–H093, H098–H102, H104 e H108; mais 7 conexões locais</w:t>
            </w:r>
          </w:p>
        </w:tc>
        <w:tc>
          <w:tcPr>
            <w:tcW w:type="dxa" w:w="15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30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Dimensionamento PoE</w:t>
      </w:r>
    </w:p>
    <w:p>
      <w:r>
        <w:rPr>
          <w:b w:val="0"/>
        </w:rPr>
        <w:t>Para planejar alimentação, reservamos 7 W por telefone, 12 W por câmera, 18 W por AP e 5 W para o controlador: 46 × 7 + 8 × 12 + 4 × 18 + 5 = 495 W. São valores de engenharia conservadores, a conferir no modelo e versão adquiridos. Com 20% de margem, a reserva é 594 W. A distribuição prevista é 214 W, 154 W e 127 W por switch, antes da margem, abaixo de 500 W por unidade. [7–10]</w:t>
      </w:r>
    </w:p>
    <w:p>
      <w:r>
        <w:rPr>
          <w:b w:val="0"/>
        </w:rPr>
        <w:t>Os controles de acesso, servidores, impressoras, TVs e mini PCs usam alimentação própria. O orçamento dos controles inclui fonte e bateria. A alimentação de fechaduras deve ser dimensionada com o instalador, sem assumir que uma porta PoE energiza todo o sistema.</w:t>
      </w:r>
    </w:p>
    <w:p>
      <w:pPr>
        <w:pStyle w:val="Heading1"/>
        <w:pageBreakBefore/>
      </w:pPr>
      <w:r>
        <w:t>4 Planta e encaminhamento proposto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2912713"/>
            <wp:docPr id="1" name="Picture 1" descr="Figura técnica do projeto de rede do prédio administrativo, explicada na legenda e no texto adja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unciado-p4-img2-Image4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91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Figura 1  Planta de referência do administrativo, reproduzida do enunciado, página 4. A reprodução não preserva escala para medição. 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308083"/>
            <wp:docPr id="2" name="Picture 2" descr="Figura técnica do projeto de rede do prédio administrativo, explicada na legenda e no texto adja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s_propo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30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Figura 2  Esquema autoral de rotas e distribuição funcional. As linhas azuis representam caminhos comuns de infraestrutura, não um único cabo compartilhado. Cada ponto possui cabo independente até o rack.</w:t>
      </w:r>
    </w:p>
    <w:p>
      <w:r>
        <w:rPr>
          <w:b w:val="0"/>
        </w:rPr>
        <w:t>A rota principal sai do CPD proposto, percorre o corredor diante das salas de reunião e deriva para o staff, diretoria, descompressão e recepção. Os cabos seguem em eletrocalha de telecomunicações e descem por eletrodutos ou infraestrutura do mobiliário. Para as ilhas centrais, prever caixas de piso ou descidas protegidas e compatibilizadas com a arquitetura; nenhum cabo fica solto em passagem de pessoas.</w:t>
      </w:r>
    </w:p>
    <w:p>
      <w:r>
        <w:rPr>
          <w:b w:val="0"/>
        </w:rPr>
        <w:t>Reservar área técnica junto ao self rack para os três servidores, com expansão para área adjacente, climatização e circulação. Validar a posição com a arquitetura; o recinto de transformadores não é automaticamente um CPD.</w:t>
      </w:r>
    </w:p>
    <w:p>
      <w:pPr>
        <w:pStyle w:val="Heading1"/>
        <w:pageBreakBefore/>
      </w:pPr>
      <w:r>
        <w:t>5 Cabeamento e sala técnica</w:t>
      </w:r>
    </w:p>
    <w:p>
      <w:r>
        <w:rPr>
          <w:b w:val="0"/>
        </w:rPr>
        <w:t>O cabeamento horizontal será Cat6 U/UTP, de cobre, com componentes da mesma categoria e patch cords de fábrica. A rede dos usuários opera a 1 Gb/s. Cada enlace permanente deve ter no máximo 90 m e o canal completo deve respeitar 100 m, incluindo cordões. Se uma rota exceder esse limite, instalar outro distribuidor conectado por fibra; uma média de comprimentos não comprova conformidade de todos os enlaces. [4, p. 30–35]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3384"/>
        <w:gridCol w:w="2232"/>
      </w:tblGrid>
      <w:tr>
        <w:trPr>
          <w:cantSplit/>
          <w:tblHeader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Grupo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Pontos × média estimada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Comprimento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Staff oeste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44 × 38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1.672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Staff leste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28 × 26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728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Supervisão diretoria recepção e reserva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8 × 24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192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Mesas compartilhadas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6 × 26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156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Videoconferência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 × 23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92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Impressoras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 × 24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72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Câmeras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8 × 32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256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Controle de acesso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 × 24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72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APs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 × 28 m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112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Soma dos enlaces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108 pontos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3.352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Folga de 10%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3.352 × 1,10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3.687,2 m</w:t>
            </w:r>
          </w:p>
        </w:tc>
      </w:tr>
      <w:tr>
        <w:trPr>
          <w:cantSplit/>
        </w:trPr>
        <w:tc>
          <w:tcPr>
            <w:tcW w:type="dxa" w:w="460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Compra em caixas de 305 m</w:t>
            </w:r>
          </w:p>
        </w:tc>
        <w:tc>
          <w:tcPr>
            <w:tcW w:type="dxa" w:w="338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13 caixas</w:t>
            </w:r>
          </w:p>
        </w:tc>
        <w:tc>
          <w:tcPr>
            <w:tcW w:type="dxa" w:w="223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3.965 m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As médias da tabela são premissas de orçamento, incluindo percurso e descidas, não medidas da imagem. A compra tem 277,8 m além da metragem com folga. Adotam-se ainda 90 m de eletrocalha e 60 m de eletrodutos como provisões; esses percursos compartilhados são diferentes da soma dos comprimentos de todos os cabos.</w:t>
      </w:r>
    </w:p>
    <w:p>
      <w:pPr>
        <w:pStyle w:val="Heading2"/>
      </w:pPr>
      <w:r>
        <w:t>Backbone e identificação</w:t>
      </w:r>
    </w:p>
    <w:p>
      <w:r>
        <w:rPr>
          <w:b w:val="0"/>
        </w:rPr>
        <w:t>A interface com o campus usa fibra monomodo OS2, com cabo dielétrico de seis fibras, DIO e conectores LC. Um enlace 10GBASE-LR utiliza duas fibras; quatro ficam de reserva. O orçamento prevê 100 m para o trecho de interface, a substituir pelo percurso medido pela equipe. Fibras sobressalentes no mesmo cabo não criam uma rota redundante.</w:t>
      </w:r>
    </w:p>
    <w:p>
      <w:r>
        <w:rPr>
          <w:b w:val="0"/>
        </w:rPr>
        <w:t>Identificação: ADM-H001 a ADM-H108 nas duas pontas. H001–H080 são dados e voz dos postos; H081–H086 são telefones compartilhados; H087–H090 videoconferência; H091–H093 impressão; H094–H101 câmeras; H102–H104 acesso físico; H105–H108 APs. Nos patch panels, distribuir em sequência: PP01 001–024, PP02 025–048, PP03 049–072, PP04 073–096 e PP05 097–108. As demais posições de PP05 e PP06 são reserva.</w:t>
      </w:r>
    </w:p>
    <w:p>
      <w:pPr>
        <w:pStyle w:val="Heading2"/>
      </w:pPr>
      <w:r>
        <w:t>CPD e rack</w:t>
      </w:r>
    </w:p>
    <w:p>
      <w:r>
        <w:rPr>
          <w:b w:val="0"/>
        </w:rPr>
        <w:t>Usar rack de piso fechado de 42U e profundidade compatível com os servidores, guias, DIO, PDUs e nobreak na base. Prever espaço frontal e traseiro para manutenção, refrigeração dedicada, aterramento, proteção elétrica e porta controlada. A referência didática indica 14 m² para sala técnica de instalações com menos de 100 estações e 1,2 m de circulação junto ao rack; a arquitetura executiva deve validar a solução. [4, p. 19–28]</w:t>
      </w:r>
    </w:p>
    <w:p>
      <w:pPr>
        <w:pStyle w:val="Heading1"/>
        <w:pageBreakBefore/>
      </w:pPr>
      <w:r>
        <w:t>6 Topologia física dos ativos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4654446"/>
            <wp:docPr id="3" name="Picture 3" descr="Figura técnica do projeto de rede do prédio administrativo, explicada na legenda e no texto adja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a_fis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Figura 3  Estrela hierárquica com agregação central. A fibra liga edifícios; Cat6 atende terminais; cabos DAC interligam equipamentos de 10 Gb/s no rack.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Portas SFP+ do core</w:t>
            </w:r>
          </w:p>
        </w:tc>
        <w:tc>
          <w:tcPr>
            <w:tcW w:type="dxa" w:w="734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Conexão e função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 a 3</w:t>
            </w:r>
          </w:p>
        </w:tc>
        <w:tc>
          <w:tcPr>
            <w:tcW w:type="dxa" w:w="734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Uplinks dos três switches de acesso, 10 Gb/s cada.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734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Trunk para a interface LAN do ER8411.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5 a 7</w:t>
            </w:r>
          </w:p>
        </w:tc>
        <w:tc>
          <w:tcPr>
            <w:tcW w:type="dxa" w:w="734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Uma interface de serviços por servidor, VLAN 160.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8 a 10</w:t>
            </w:r>
          </w:p>
        </w:tc>
        <w:tc>
          <w:tcPr>
            <w:tcW w:type="dxa" w:w="734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Uma interface de storage por servidor, VLAN 180.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11</w:t>
            </w:r>
          </w:p>
        </w:tc>
        <w:tc>
          <w:tcPr>
            <w:tcW w:type="dxa" w:w="734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Interface de storage do NAS, VLAN 180.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12 a 16</w:t>
            </w:r>
          </w:p>
        </w:tc>
        <w:tc>
          <w:tcPr>
            <w:tcW w:type="dxa" w:w="734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Reserva de expansão; não implica redundância automática.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O core opera como agregador em camada 2. O gateway controla o tráfego entre VLANs. Os servidores usam duas interfaces com funções diferentes, sem agregação entre serviços e storage. Não há conexão direta do usuário à rede de armazenamento. Um único core e um único gateway são pontos de falha identificados no plano de riscos.</w:t>
      </w:r>
    </w:p>
    <w:p>
      <w:pPr>
        <w:pStyle w:val="Heading1"/>
        <w:pageBreakBefore/>
      </w:pPr>
      <w:r>
        <w:t>7 Topologia lógica e endereçamento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98277"/>
            <wp:docPr id="4" name="Picture 4" descr="Figura técnica do projeto de rede do prédio administrativo, explicada na legenda e no texto adja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a_logi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Figura 4  Segmentação funcional. As conexões ao gateway representam possibilidade de roteamento sujeita às políticas; a VLAN 180 não é roteada.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3816"/>
        <w:gridCol w:w="3312"/>
      </w:tblGrid>
      <w:tr>
        <w:trPr>
          <w:cantSplit/>
          <w:tblHeader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VLAN e função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Sub rede e capacidade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Atribuição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110 Dados cabeados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10.20.10.0/24  |  254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DHCP .50–.199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120 Telefonia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10.20.20.0/24  |  254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DHCP .50–.149; PABX .10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130 WiFi corporativo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10.20.30.0/24  |  254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DHCP .50–.229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140 Visitantes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10.20.40.0/24  |  254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DHCP .20–.229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150 Câmeras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10.20.50.0/27  |  30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Câmeras .10–.17 fixos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160 Servidores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10.20.60.0/27  |  30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Hosts .2–.4; serviços .10–.19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170 Gerência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10.20.70.0/27  |  30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Infraestrutura .2–.29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180 Storage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10.20.80.0/28  |  14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NAS .2; servidores .11–.13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190 Controle de acesso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10.20.90.0/27  |  30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AC01–AC03 .10–.12</w:t>
            </w:r>
          </w:p>
        </w:tc>
      </w:tr>
      <w:tr>
        <w:trPr>
          <w:cantSplit/>
        </w:trPr>
        <w:tc>
          <w:tcPr>
            <w:tcW w:type="dxa" w:w="309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200 Impressão e vídeo</w:t>
            </w:r>
          </w:p>
        </w:tc>
        <w:tc>
          <w:tcPr>
            <w:tcW w:type="dxa" w:w="381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10.20.100.0/27  |  30 hosts</w:t>
            </w:r>
          </w:p>
        </w:tc>
        <w:tc>
          <w:tcPr>
            <w:tcW w:type="dxa" w:w="33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Impressoras .10–.12; VC .20–.23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Gateway .1 em cada sub-rede, exceto VLAN 180, sem gateway. Máscaras: /24 = 255.255.255.0; /27 = 255.255.255.224; /28 = 255.255.255.240. Rede e broadcast não são atribuídos. DHCP dos clientes fica no gateway; DNS corporativo em 10.20.60.10 e .11. Visitantes usam resolvedor autorizado separado, sem consulta ao DNS interno.</w:t>
      </w:r>
    </w:p>
    <w:p>
      <w:r>
        <w:rPr>
          <w:b w:val="0"/>
        </w:rPr>
        <w:t>Proposta à equipe: reservar 10.20.0.0/16 ao ADM. No trânsito 10.255.20.0/30, usar campus .1 e ADM .2. Configurar rota de retorno no campus e NAT somente na borda. Validar suporte ao modo sem NAT e ausência de sobreposição. IDs e endereços ainda devem ser pactuados.</w:t>
      </w:r>
    </w:p>
    <w:p>
      <w:pPr>
        <w:pStyle w:val="Heading1"/>
        <w:pageBreakBefore/>
      </w:pPr>
      <w:r>
        <w:t>8 Segurança e protocolos</w:t>
      </w:r>
    </w:p>
    <w:p>
      <w:r>
        <w:rPr>
          <w:b w:val="0"/>
        </w:rPr>
        <w:t>Criar uma regra padrão de bloqueio entre VLANs e liberar apenas os fluxos necessários. Visitantes acessam somente a Internet; câmeras e controladores físicos não navegam livremente; usuários comuns não administram switches, storage nem hipervisores. O acesso remoto de suporte deve usar VPN, autenticação forte e registro de eventos.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4824"/>
      </w:tblGrid>
      <w:tr>
        <w:trPr>
          <w:cantSplit/>
          <w:tblHeader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Origem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Destino permitido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Regra e finalidade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Dados e WiFi corporativo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DNS, autenticação, arquivos e impressão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Permitir serviços corporativos necessários; negar gerência e storage.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Visitantes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Internet e DNS autorizado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Negar todos os prefixos internos do campus; isolar clientes no SSID.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Telefones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PABX 10.20.20.10 e serviços básicos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SIP e mídia conforme configuração; Internet somente pelo serviço autorizado.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Câmeras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Gravador 10.20.60.13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Permitir gravação e horário; acesso administrativo apenas da TI.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Controle físico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Gestão 10.20.60.14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Permitir comunicação com aplicação de acesso e NTP.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Estação de administração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VLAN 170 e interfaces autorizadas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HTTPS, SSH e monitoramento; autenticação individual e logs.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Servidores na VLAN 180</w:t>
            </w:r>
          </w:p>
        </w:tc>
        <w:tc>
          <w:tcPr>
            <w:tcW w:type="dxa" w:w="324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Storage 10.20.80.2</w:t>
            </w:r>
          </w:p>
        </w:tc>
        <w:tc>
          <w:tcPr>
            <w:tcW w:type="dxa" w:w="48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NFS ou iSCSI selecionado; sem roteamento e sem encaminhamento pelos hosts.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Protocolos aplicados à solução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Protocolo ou recurso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Ethernet e IEEE 802.1Q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Quadros na LAN, portas de acesso e trunks com VLANs permitidas explicitamente.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IPv4, TCP e UDP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Endereçamento e roteamento; TCP para fluxos que exigem entrega confiável; UDP para serviços como DHCP e mídia em tempo real.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DHCP e DNS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UDP 67/68 para configuração IPv4; UDP e TCP 53 para resolução de nomes. [5–6]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HTTPS, SSH e NTP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TCP 443 e 22 para acesso seguro; UDP 123 para sincronizar logs e gravações.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SIP e RTP ou SRTP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Sinalização e áudio da telefonia; restringir a faixa de mídia ao que for configurado no PABX.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SNMPv3 e syslog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Monitorar enlaces, energia e erros; registrar eventos em servidor de gestão.</w:t>
            </w:r>
          </w:p>
        </w:tc>
      </w:tr>
      <w:tr>
        <w:trPr>
          <w:cantSplit/>
        </w:trPr>
        <w:tc>
          <w:tcPr>
            <w:tcW w:type="dxa" w:w="302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RSTP e proteção de portas</w:t>
            </w:r>
          </w:p>
        </w:tc>
        <w:tc>
          <w:tcPr>
            <w:tcW w:type="dxa" w:w="720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Evitar loops; desligar portas sem uso; aplicar BPDU Guard nas portas de terminais quando suportado.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Na referência OSI, cabos e óptica representam a camada física; Ethernet e VLANs, enlace; IP, rede; TCP/UDP, transporte; DNS, DHCP e aplicações, as camadas superiores. A divisão facilita localizar falhas. VLAN sozinha não substitui firewall: a segurança depende das regras e da configuração dos equipamentos. [5]</w:t>
      </w:r>
    </w:p>
    <w:p>
      <w:pPr>
        <w:pStyle w:val="Heading1"/>
        <w:pageBreakBefore/>
      </w:pPr>
      <w:r>
        <w:t>9 WiFi voz vídeo e servidores</w:t>
      </w:r>
    </w:p>
    <w:p>
      <w:pPr>
        <w:pStyle w:val="Heading2"/>
      </w:pPr>
      <w:r>
        <w:t>Cobertura e capacidade sem fio</w:t>
      </w:r>
    </w:p>
    <w:p>
      <w:r>
        <w:rPr>
          <w:b w:val="0"/>
        </w:rPr>
        <w:t>Prever quatro APs WiFi 6 TP-Link EAP650 com uplink Gigabit e PoE+. AP01 atende o staff oeste; AP02, o staff leste; AP03, o eixo diretoria e reuniões 01–02; AP04, recepção e reuniões 03–04. São posições iniciais, a ajustar após levantamento de radiofrequência. A quantidade considera 32 notebooks, até 40 celulares corporativos e 20 visitantes, ou cerca de 92 clientes e média de 23 por AP; a distribuição real pode ser desigual. [8]</w:t>
      </w:r>
    </w:p>
    <w:p>
      <w:r>
        <w:rPr>
          <w:b w:val="0"/>
        </w:rPr>
        <w:t>Criar SSIDs TP-CORP na VLAN 130 e TP-VISITANTES na VLAN 140. Usar autenticação corporativa via RADIUS e modo WPA2/WPA3 Enterprise compatível com os clientes. Priorizar 5 GHz, planejar canais e potência, usar larguras conservadoras em ambientes densos e limitar banda de visitantes. Meta de projeto: sinal de pelo menos −67 dBm e SNR de 25 dB nas áreas úteis, confirmados por medição, inclusive dentro das salas fechadas.</w:t>
      </w:r>
    </w:p>
    <w:p>
      <w:pPr>
        <w:pStyle w:val="Heading2"/>
      </w:pPr>
      <w:r>
        <w:t>Telefonia e reuniões</w:t>
      </w:r>
    </w:p>
    <w:p>
      <w:r>
        <w:rPr>
          <w:b w:val="0"/>
        </w:rPr>
        <w:t>Adotar 46 telefones Grandstream GRP2602P e um PABX UCM6301. Os telefones têm PoE; seu enlace de 100 Mb/s é suficiente para voz, pois o computador usa outra tomada. Planejar dez chamadas externas simultâneas, sujeitas à contratação de tronco SIP. Como estimativa, reservar 0,1 Mb/s por chamada G.711 em cada direção, mais margem, e dar prioridade à voz com QoS. [10–11]</w:t>
      </w:r>
    </w:p>
    <w:p>
      <w:r>
        <w:rPr>
          <w:b w:val="0"/>
        </w:rPr>
        <w:t>Cada kit de sala combina câmera e viva-voz USB Logitech MeetUp, mini PC com Ethernet e monitor ou TV por HDMI. A câmera USB não é um endpoint IP separado; o ponto de rede é do mini PC. Prever quatro reuniões simultâneas, com reserva inicial de 6 Mb/s por sala em cada direção, a revisar conforme a plataforma e resolução. Uma cota inicial de Internet de 200 Mb/s simétricos para o administrativo cobre essa hipótese e o uso comum; não é uma exigência textual do professor. [12]</w:t>
      </w:r>
    </w:p>
    <w:p>
      <w:pPr>
        <w:pStyle w:val="Heading2"/>
      </w:pPr>
      <w:r>
        <w:t>Serviços e armazenamento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Equipamento</w:t>
            </w:r>
          </w:p>
        </w:tc>
        <w:tc>
          <w:tcPr>
            <w:tcW w:type="dxa" w:w="87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Funções e interfaces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SRV01</w:t>
            </w:r>
          </w:p>
        </w:tc>
        <w:tc>
          <w:tcPr>
            <w:tcW w:type="dxa" w:w="87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Identidade, DNS primário e RADIUS em VMs; 10.20.60.2 no host e .10 para DNS.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SRV02</w:t>
            </w:r>
          </w:p>
        </w:tc>
        <w:tc>
          <w:tcPr>
            <w:tcW w:type="dxa" w:w="87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Aplicações, arquivos e impressão; DNS secundário em VM .11 e aplicação .12; host .3.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SRV03</w:t>
            </w:r>
          </w:p>
        </w:tc>
        <w:tc>
          <w:tcPr>
            <w:tcW w:type="dxa" w:w="87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Gravação de câmeras, gestão de acesso, logs e rotina de backup; VMs .13–.15 e host .4.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NAS01</w:t>
            </w:r>
          </w:p>
        </w:tc>
        <w:tc>
          <w:tcPr>
            <w:tcW w:type="dxa" w:w="87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Storage na VLAN 180 e gerenciamento restrito na VLAN 170; quatro discos de 8 TB em RAID 6.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O storage terá 32 TB brutos e aproximadamente 16 TB úteis decimais antes das reservas do sistema. Oito câmeras a 4 Mb/s gravando por 30 dias consomem 10,37 TB; com 20% de margem, 12,44 TB. Restam cerca de 3,56 TB antes de formatação para demais dados, portanto a capacidade dos arquivos corporativos deve ser confirmada. Essa conta cobre só as oito câmeras do administrativo. RAID não é backup: incluir cópia externa e teste de restauração. Não se presume alta disponibilidade apenas por existirem três servidores.</w:t>
      </w:r>
    </w:p>
    <w:p>
      <w:pPr>
        <w:pStyle w:val="Heading1"/>
        <w:pageBreakBefore/>
      </w:pPr>
      <w:r>
        <w:t>10 Riscos e justificativa do investimento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464"/>
      </w:tblGrid>
      <w:tr>
        <w:trPr>
          <w:cantSplit/>
          <w:tblHeader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Risco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Impacto e prioridade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Resposta proposta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Falha elétrica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Paralisação e perda de gravação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Nobreak online, proteção elétrica, desligamento controlado e teste de autonomia.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Falha do core ou gateway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Indisponibilidade do prédio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Configuração salva, suporte e reposição; prever par redundante em fase posterior.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Percurso maior que 90 m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Enlace fora do limite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Medir todas as rotas e implantar distribuidor adicional se necessário.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Sala técnica inadequada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Calor, acesso indevido e falta de manutenção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Adequar self rack e área adjacente, refrigeração, fechamento e circulação.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Maresia umidade e surtos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Corrosão e falhas externas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Proteção ambiental, caixas vedadas, fibra dielétrica e proteções de cobre na fachada.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WiFi insuficiente em salas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Quedas em reunião  |  Média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Site survey, testes com ocupação e ajuste dos APs; reservar portas para expansão.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Acesso entre redes indevido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Exposição de dados ou controle físico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Políticas de menor privilégio, autenticação, isolamento de visitantes e auditoria.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Storage ou backup insuficiente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Perda de registros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Quota de gravação, medir bitrate, cópia externa e simular restauração.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IPs ou serviços duplicados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Conflitos na integração  |  Alta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Plano único da equipe para endereços, rotas, DNS, ramais e responsabilidades.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Preços e quantidades alterados</w:t>
            </w:r>
          </w:p>
        </w:tc>
        <w:tc>
          <w:tcPr>
            <w:tcW w:type="dxa" w:w="316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Estouro do orçamento  |  Média</w:t>
            </w:r>
          </w:p>
        </w:tc>
        <w:tc>
          <w:tcPr>
            <w:tcW w:type="dxa" w:w="44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Levantamento executivo, comparação de propostas e contingência.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Energia e continuidade</w:t>
      </w:r>
    </w:p>
    <w:p>
      <w:r>
        <w:rPr>
          <w:b w:val="0"/>
        </w:rPr>
        <w:t>Provisão inicial de carga: três servidores a 250 W = 750 W; NAS 100 W; rede e gateway 180 W sem PoE; terminais PoE 495 W; equipamentos auxiliares 45 W. Total estimado de 1.570 W; com 25%, 1.962,5 W. Selecionar nobreak online de 3 kVA com capacidade ativa mínima de 2,7 kW e bateria para meta de 15 minutos à carga medida. A potência aparente em VA, sozinha, não comprova autonomia. Impressoras e climatização ficam fora do nobreak de TI.</w:t>
      </w:r>
    </w:p>
    <w:p>
      <w:pPr>
        <w:pStyle w:val="Heading2"/>
      </w:pPr>
      <w:r>
        <w:t>Contribuição para o Business Case</w:t>
      </w:r>
    </w:p>
    <w:p>
      <w:r>
        <w:rPr>
          <w:b w:val="0"/>
        </w:rPr>
        <w:t>O investimento sustenta comunicação entre departamentos, reuniões remotas e acesso seguro aos dados. Cabeamento identificado reduz tempo de diagnóstico; a reserva de portas evita troca precoce de switches; fibra atende ao vínculo entre prédios; segmentação limita o alcance de falhas e acessos indevidos. O projeto aceita um core e um gateway únicos para conter custo inicial, deixando explícita a necessidade de redundância caso o negócio exija operação contínua.</w:t>
      </w:r>
    </w:p>
    <w:p>
      <w:r>
        <w:rPr>
          <w:b w:val="0"/>
        </w:rPr>
        <w:t>Acompanhar resultados por indicadores: incidentes de conectividade, tempo de recuperação, cobertura WiFi, ocupação de enlaces e storage e êxito das restaurações. O cenário não informa custo de parada ou retorno financeiro esperado; por isso não se atribui payback ou economia monetária sem evidência.</w:t>
      </w:r>
    </w:p>
    <w:p>
      <w:pPr>
        <w:pStyle w:val="Heading1"/>
        <w:pageBreakBefore/>
      </w:pPr>
      <w:r>
        <w:t>11 Materiais de infraestrutura</w:t>
      </w:r>
    </w:p>
    <w:p>
      <w:r>
        <w:rPr>
          <w:b w:val="0"/>
        </w:rPr>
        <w:t>Orçamento por ordem de grandeza em reais, com data-base de planejamento em 16/09/2026. Os valores unitários são provisões estimativas do projeto, não propostas comerciais nem preços garantidos. As referências de fabricantes verificam características, não os valores. A compra exige cotação, impostos, frete, garantia e versão regional. Margem de incerteza adotada para análise: −30% a +50%; contingência de planejamento: 20%.</w:t>
      </w:r>
    </w:p>
    <w:p>
      <w:pPr>
        <w:pStyle w:val="Heading2"/>
      </w:pPr>
      <w:r>
        <w:t>Cabeamento e infraestrutura passiva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4"/>
        <w:gridCol w:w="720"/>
        <w:gridCol w:w="1512"/>
        <w:gridCol w:w="1728"/>
      </w:tblGrid>
      <w:tr>
        <w:trPr>
          <w:cantSplit/>
          <w:tblHeader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Material e referência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Qtd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Unit R$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Cabo horizontal</w:t>
              <w:br/>
              <w:t>Furukawa Cat6 U/UTP cobre, caixa 305 m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1.050,00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13.650,00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Patch panel carregado</w:t>
              <w:br/>
              <w:t>Furukawa Cat6 24 portas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700,00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4.200,00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Conectores de tomadas</w:t>
              <w:br/>
              <w:t>Furukawa RJ45 Cat6; 108 + 12 de reserva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35,00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4.200,00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Espelhos e caixas</w:t>
              <w:br/>
              <w:t>40 posições duplas e 28 simples, compatíveis Cat6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1.400,00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1.400,00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Patch cords de fábrica</w:t>
              <w:br/>
              <w:t>Furukawa Cat6; 240 un., 1 a 3 m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240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28,00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6.720,00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Eletrocalha de dados</w:t>
              <w:br/>
              <w:t>Legrand ou equivalente, 90 m com acessórios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65,00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5.850,00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Eletrodutos e conexões</w:t>
              <w:br/>
              <w:t>Tigre ou equivalente, provisão de 60 m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1.200,00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Rack de piso</w:t>
              <w:br/>
              <w:t>Fibracem 42U 19 pol., profundidade 1.000 mm ou compatível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5.500,00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Organização do rack</w:t>
              <w:br/>
              <w:t>2 PDUs, guias, bandejas, fixadores e painéis cegos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1.800,00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1.800,00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Cabo óptico de interface</w:t>
              <w:br/>
              <w:t>Furukawa OS2 dielétrico 6FO, provisão de 100 m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12,00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1.200,00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Terminação óptica</w:t>
              <w:br/>
              <w:t>1 DIO Fibracem 12FO, pigtails, adaptadores e 2 cordões duplex LC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1.800,00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1.800,00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Identificação e consumíveis</w:t>
              <w:br/>
              <w:t>Etiquetas, velcro e identificação das duas pontas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600,00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Subtotal de materiais passivos: R$ 48.120,00.</w:t>
      </w:r>
    </w:p>
    <w:p>
      <w:r>
        <w:rPr>
          <w:b w:val="0"/>
        </w:rPr>
        <w:t>Os 240 patch cords cobrem 216 terminações dos 108 enlaces, sete conexões locais e 17 sobressalentes. Os patch panels são carregados; os 120 conectores são para as tomadas, evitando contar conectores de painel duas vezes. A metragem de fibra corresponde somente à provisão de interface do prédio; o backbone completo será consolidado pela equipe.</w:t>
      </w:r>
    </w:p>
    <w:p>
      <w:pPr>
        <w:pStyle w:val="Heading1"/>
        <w:pageBreakBefore/>
      </w:pPr>
      <w:r>
        <w:t>12 Equipamentos e implantação</w:t>
      </w:r>
    </w:p>
    <w:p>
      <w:pPr>
        <w:pStyle w:val="Heading2"/>
      </w:pPr>
      <w:r>
        <w:t>Equipamentos de rede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4"/>
        <w:gridCol w:w="720"/>
        <w:gridCol w:w="1512"/>
        <w:gridCol w:w="1728"/>
      </w:tblGrid>
      <w:tr>
        <w:trPr>
          <w:cantSplit/>
          <w:tblHeader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Material e referência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Qtd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Unit R$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Switches de acesso</w:t>
              <w:br/>
              <w:t>TP-Link SG3452XP; 48 GE PoE+, 4 SFP+ 10G, 500 W [7]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7.500,00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22.500,00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Switch de agregação</w:t>
              <w:br/>
              <w:t>TP-Link SX3016F; 16 portas SFP+ 10G [9]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7.500,00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7.500,00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Gateway do administrativo</w:t>
              <w:br/>
              <w:t>TP-Link ER8411; interfaces 10G e controle entre VLANs [13]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6.500,00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APs de teto</w:t>
              <w:br/>
              <w:t>TP-Link EAP650 WiFi 6 AX3000, uplink GE, PoE+ [8]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1.400,00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5.600,00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Controlador WiFi</w:t>
              <w:br/>
              <w:t>TP-Link OC200; rede e alimentação via PoE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900,00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900,00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Cabos DAC 10G</w:t>
              <w:br/>
              <w:t>11 links no rack, compatíveis com as duas pontas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3.300,00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Transceptores ópticos</w:t>
              <w:br/>
              <w:t>TP-Link TL-SM5110-LR 10GBASE-LR LC, par para o enlace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900,00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1.800,00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Subtotal de ativos de rede: R$ 48.100,00.</w:t>
      </w:r>
    </w:p>
    <w:p>
      <w:pPr>
        <w:pStyle w:val="Heading2"/>
      </w:pPr>
      <w:r>
        <w:t>Servidores storage e telefonia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4"/>
        <w:gridCol w:w="720"/>
        <w:gridCol w:w="1512"/>
        <w:gridCol w:w="1728"/>
      </w:tblGrid>
      <w:tr>
        <w:trPr>
          <w:cantSplit/>
          <w:tblHeader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Material e referência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Qtd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Unit R$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Servidores físicos</w:t>
              <w:br/>
              <w:t>Dell PowerEdge R350 ou equivalente; CPU 8 núcleos, 64 GB ECC, 2 SSD 960 GB em RAID 1, NIC dupla 10G SFP+ e gerência remota [14]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23.000,00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69.000,00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Storage com discos e NIC</w:t>
              <w:br/>
              <w:t>Synology RS1221+, 4 discos homologados de 8 TB, RAID 6, NIC E10G30-F2 compatível e trilhos [15]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26.000,00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26.000,00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PABX IP</w:t>
              <w:br/>
              <w:t>Grandstream UCM6301; plano inicial de 46 ramais [11]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Telefones IP</w:t>
              <w:br/>
              <w:t>Grandstream GRP2602P, PoE [10]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450,00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20.700,00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1"/>
        <w:pageBreakBefore/>
      </w:pPr>
      <w:r>
        <w:t>12 Equipamentos e implantação continuação</w:t>
      </w:r>
    </w:p>
    <w:p>
      <w:pPr>
        <w:pStyle w:val="Heading2"/>
      </w:pPr>
      <w:r>
        <w:t>Videoconferência segurança e energia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4"/>
        <w:gridCol w:w="720"/>
        <w:gridCol w:w="1512"/>
        <w:gridCol w:w="1728"/>
      </w:tblGrid>
      <w:tr>
        <w:trPr>
          <w:cantSplit/>
          <w:tblHeader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Material e referência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Qtd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Unit R$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Kits de videoconferência</w:t>
              <w:br/>
              <w:t>Logitech MeetUp + mini PC Ethernet 16 GB/SSD + TV 43 pol. + suporte, cabos e microfone adicional quando necessário [12]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14.000,00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56.000,00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Câmeras internas</w:t>
              <w:br/>
              <w:t>Intelbras VIP 1230 D G4, IP 2 MP, PoE [16]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650,00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3.900,00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Câmeras externas</w:t>
              <w:br/>
              <w:t>Intelbras VIP 1230 B G4, IP 2 MP, IP67, PoE [16]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700,00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1.400,00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Proteção externa</w:t>
              <w:br/>
              <w:t>Caixas vedadas e proteção Ethernet PoE aterrada nas duas câmeras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Kits de acesso físico</w:t>
              <w:br/>
              <w:t>Intelbras SS 3530 MF FACE ou equivalente Ethernet, fechadura, botoeira, fonte e bateria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7.500,00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Nobreak e acessórios</w:t>
              <w:br/>
              <w:t>SMS/Schneider online 3 kVA, mínimo 2,7 kW, SNMP e bateria dimensionada para 15 min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16.000,00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16.000,00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Subtotal de servidores, comunicação, segurança física e energia: R$ 206.100,00.</w:t>
      </w:r>
    </w:p>
    <w:p>
      <w:pPr>
        <w:pStyle w:val="Heading2"/>
      </w:pPr>
      <w:r>
        <w:t>Serviços de implantação e provisões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4"/>
        <w:gridCol w:w="720"/>
        <w:gridCol w:w="1512"/>
        <w:gridCol w:w="1728"/>
      </w:tblGrid>
      <w:tr>
        <w:trPr>
          <w:cantSplit/>
          <w:tblHeader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Material e referência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Qtd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Unit R$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Instalação e certificação</w:t>
              <w:br/>
              <w:t>108 enlaces Cat6 com relatório individual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150,00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16.200,00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Fusão e ensaios ópticos</w:t>
              <w:br/>
              <w:t>Até 12 fusões e medições do enlace de interface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1.500,00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Configuração e documentação</w:t>
              <w:br/>
              <w:t>VLANs, políticas, WiFi, voz, servidores, inventário e testes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Adequação do CPD</w:t>
              <w:br/>
              <w:t>Provisão para fechamento, elétrica, aterramento e climatização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20.000,00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20.000,00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Software e proteção inicial</w:t>
              <w:br/>
              <w:t>Provisão para VMS de 8 canais, sistemas e suporte inicial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6.000,00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Subtotal de implantação: R$ 53.700,00.</w:t>
      </w:r>
    </w:p>
    <w:p>
      <w:r>
        <w:rPr>
          <w:b w:val="0"/>
        </w:rPr>
        <w:t>Justificativas: servidores físicos cumprem a quantidade do enunciado e isolam funções em VMs; o storage concentra os volumes e gravações; PoE simplifica a alimentação; o nobreak mantém a TI durante interrupções curtas; certificação e documentação permitem aceitar e manter os enlaces. Nenhum item de licenciamento da tabela garante cobertura de software comercial ainda não escolhido.</w:t>
      </w:r>
    </w:p>
    <w:p>
      <w:pPr>
        <w:pStyle w:val="Heading1"/>
        <w:pageBreakBefore/>
      </w:pPr>
      <w:r>
        <w:t>13 Consolidação do orçamento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04"/>
        <w:gridCol w:w="2520"/>
      </w:tblGrid>
      <w:tr>
        <w:trPr>
          <w:cantSplit/>
          <w:tblHeader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Valor R$</w:t>
            </w:r>
          </w:p>
        </w:tc>
      </w:tr>
      <w:tr>
        <w:trPr>
          <w:cantSplit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Cabeamento e infraestrutura passiva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48.120,00</w:t>
            </w:r>
          </w:p>
        </w:tc>
      </w:tr>
      <w:tr>
        <w:trPr>
          <w:cantSplit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Ativos de rede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48.100,00</w:t>
            </w:r>
          </w:p>
        </w:tc>
      </w:tr>
      <w:tr>
        <w:trPr>
          <w:cantSplit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Servidores comunicação segurança e energia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206.100,00</w:t>
            </w:r>
          </w:p>
        </w:tc>
      </w:tr>
      <w:tr>
        <w:trPr>
          <w:cantSplit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Implantação e provisões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53.700,00</w:t>
            </w:r>
          </w:p>
        </w:tc>
      </w:tr>
      <w:tr>
        <w:trPr>
          <w:cantSplit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Subtotal da infraestrutura e serviços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356.020,00</w:t>
            </w:r>
          </w:p>
        </w:tc>
      </w:tr>
      <w:tr>
        <w:trPr>
          <w:cantSplit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Contingência de 20%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71.204,00</w:t>
            </w:r>
          </w:p>
        </w:tc>
      </w:tr>
      <w:tr>
        <w:trPr>
          <w:cantSplit/>
        </w:trPr>
        <w:tc>
          <w:tcPr>
            <w:tcW w:type="dxa" w:w="770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Referência de investimento em infraestrutura</w:t>
            </w:r>
          </w:p>
        </w:tc>
        <w:tc>
          <w:tcPr>
            <w:tcW w:type="dxa" w:w="25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427.224,00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Computadores e impressoras caso sejam comprados</w:t>
      </w:r>
    </w:p>
    <w:p>
      <w:r>
        <w:rPr>
          <w:b w:val="0"/>
        </w:rPr>
        <w:t>Estes itens são separados para a equipe evitar comprar novamente equipamentos já disponíveis. As três impressoras e os 40 computadores continuam fazendo parte do inventário e do dimensionamento da rede, independentemente da origem dos equipamentos.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64"/>
        <w:gridCol w:w="720"/>
        <w:gridCol w:w="1512"/>
        <w:gridCol w:w="1728"/>
      </w:tblGrid>
      <w:tr>
        <w:trPr>
          <w:cantSplit/>
          <w:tblHeader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Material e referência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Qtd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Unit R$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8"/>
              </w:rPr>
              <w:t>Total R$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Notebooks</w:t>
              <w:br/>
              <w:t>Dell Pro ou Lenovo ThinkPad equivalente; 16 GB, SSD 512 GB e WiFi 6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176.000,00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Desktops</w:t>
              <w:br/>
              <w:t>Dell Pro ou Lenovo ThinkCentre equivalente; 16 GB, SSD 512 GB, GE e monitor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4.000,00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32.000,00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Docks dos notebooks</w:t>
              <w:br/>
              <w:t>Dell/Lenovo compatível com notebook, USB-C e Ethernet GE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16.000,00</w:t>
            </w:r>
          </w:p>
        </w:tc>
      </w:tr>
      <w:tr>
        <w:trPr>
          <w:cantSplit/>
        </w:trPr>
        <w:tc>
          <w:tcPr>
            <w:tcW w:type="dxa" w:w="62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Impressoras de rede</w:t>
              <w:br/>
              <w:t>Brother MFC-L5912DW ou equivalente laser multifuncional Ethernet</w:t>
            </w:r>
          </w:p>
        </w:tc>
        <w:tc>
          <w:tcPr>
            <w:tcW w:type="dxa" w:w="720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51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3.500,00</w:t>
            </w:r>
          </w:p>
        </w:tc>
        <w:tc>
          <w:tcPr>
            <w:tcW w:type="dxa" w:w="172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8"/>
              </w:rPr>
              <w:t>10.500,00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/>
        </w:rPr>
        <w:t>Subtotal de terminais: R$ 234.500,00. Cenário completo com terminais e contingência de 20% sobre todo o subtotal: R$ 708.624,00.</w:t>
      </w:r>
    </w:p>
    <w:p>
      <w:pPr>
        <w:pStyle w:val="Heading2"/>
      </w:pPr>
      <w:r>
        <w:t>Limites da estimativa</w:t>
      </w:r>
    </w:p>
    <w:p>
      <w:r>
        <w:rPr>
          <w:b w:val="0"/>
        </w:rPr>
        <w:t>Faixa de sensibilidade da infraestrutura, sem somar novamente a contingência: R$ 249.214,00 a R$ 534.030,00. Esta faixa representa incerteza assumida, não intervalo estatístico nem pesquisa de mercado.</w:t>
      </w:r>
    </w:p>
    <w:p>
      <w:r>
        <w:rPr>
          <w:b w:val="0"/>
        </w:rPr>
        <w:t>A estimativa inclui equipamentos e implantação listados. Ficam fora o backbone geral além da provisão de interface, enlaces de outras edificações, obras estruturais maiores, gerador e redundância de core/gateway. Despesas recorrentes precisam de proposta própria: Internet, tronco SIP, licenças de reuniões, suporte, backup externo, energia e manutenção. A provisão de software deve ser detalhada quando forem escolhidos sistemas, hipervisor e VMS.</w:t>
      </w:r>
    </w:p>
    <w:p>
      <w:r>
        <w:rPr>
          <w:b w:val="0"/>
        </w:rPr>
        <w:t>O par óptico contém uma unidade no administrativo e outra na ponta do campus. Na planilha geral, atribuir o par e o cabo a um único responsável, evitando duplicidade. O mesmo princípio se aplica a PABX, servidores, storage, DNS e serviços de gravação que a equipe decidir compartilhar. O dimensionamento atual não agrega câmeras nem usuários dos outros prédios.</w:t>
      </w:r>
    </w:p>
    <w:p>
      <w:pPr>
        <w:pStyle w:val="Heading1"/>
        <w:pageBreakBefore/>
      </w:pPr>
      <w:r>
        <w:t>14 Implantação e integração da equipe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cantSplit/>
          <w:tblHeader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Etapa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Ação e resultado verificável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 Levantamento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Confirmar os 39 postos e a reserva, conferir cotas, medir rotas, inspecionar elétrica e espaço do CPD.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2 Projeto executivo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Posicionar cada H001–H108, AP, câmera e controle sobre a planta em escala; fechar metragens e lista de compra.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3 Infraestrutura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Executar sala técnica, eletrocalhas, eletrodutos, aterramento, rack e alimentação; identificar tudo.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4 Instalação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Lançar e terminar Cat6 e fibra; montar ativos, servidores e dispositivos; registrar portas e números de série.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5 Configuração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Aplicar VLANs, IPs, DHCP, DNS, regras, WiFi, ramais, serviços, gravação e backup.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6 Validação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Executar os testes da seção 15, guardar evidências e corrigir falhas antes da aceitação.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7 Entrega técnica</w:t>
            </w:r>
          </w:p>
        </w:tc>
        <w:tc>
          <w:tcPr>
            <w:tcW w:type="dxa" w:w="8352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Atualizar a planta para o as built, exportar configurações, entregar inventário, laudos e orientação de operação.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Acordo mínimo com os demais integrantes</w:t>
      </w:r>
    </w:p>
    <w:p>
      <w:pPr>
        <w:pStyle w:val="ListBullet"/>
      </w:pPr>
      <w:r>
        <w:rPr>
          <w:b w:val="0"/>
        </w:rPr>
        <w:t>Equipe do backbone: confirmar a ponta óptica do ADM, percurso, fibras, transceptores, trânsito 10.255.20.0/30 e rota de retorno para 10.20.0.0/16.</w:t>
      </w:r>
    </w:p>
    <w:p>
      <w:pPr>
        <w:pStyle w:val="ListBullet"/>
      </w:pPr>
      <w:r>
        <w:rPr>
          <w:b w:val="0"/>
        </w:rPr>
        <w:t>Equipe da portaria TP: manter inventário próprio. O controle da entrada do administrativo não substitui o controle da portaria geral.</w:t>
      </w:r>
    </w:p>
    <w:p>
      <w:pPr>
        <w:pStyle w:val="ListBullet"/>
      </w:pPr>
      <w:r>
        <w:rPr>
          <w:b w:val="0"/>
        </w:rPr>
        <w:t>Equipes do silo, ferrovia e CCO: definir somente os fluxos necessários aos serviços do ADM; não estender todas as VLANs indiscriminadamente entre prédios.</w:t>
      </w:r>
    </w:p>
    <w:p>
      <w:pPr>
        <w:pStyle w:val="ListBullet"/>
      </w:pPr>
      <w:r>
        <w:rPr>
          <w:b w:val="0"/>
        </w:rPr>
        <w:t>Responsável por serviços: decidir se PABX, identidade, DNS e VMS serão centralizados; somar carga e licenças antes de compartilhar os três servidores e o storage.</w:t>
      </w:r>
    </w:p>
    <w:p>
      <w:pPr>
        <w:pStyle w:val="ListBullet"/>
      </w:pPr>
      <w:r>
        <w:rPr>
          <w:b w:val="0"/>
        </w:rPr>
        <w:t>Responsável pelo orçamento: unificar itens comuns e evitar duplicidade de fibra, par óptico, licenças, Internet e serviços centrais.</w:t>
      </w:r>
    </w:p>
    <w:p>
      <w:pPr>
        <w:pStyle w:val="Heading2"/>
      </w:pPr>
      <w:r>
        <w:t>Organização dos arquivos da contribuição</w:t>
      </w:r>
    </w:p>
    <w:p>
      <w:r>
        <w:rPr>
          <w:b w:val="0"/>
        </w:rPr>
        <w:t>01-Relatorio: este documento e sua versão final revisada. 02-Plantas: planta executiva, rotas e topologias. 03-Packet-Tracer: arquivo da simulação e notas de equivalência dos equipamentos. 04-Orcamento: quantitativos, cotações e consolidação. 05-Validacao: roteiro, resultados, capturas e laudos. Essa organização acompanha as pastas mostradas na imagem fornecida; o conteúdo interno delas não foi usado como fonte.</w:t>
      </w:r>
    </w:p>
    <w:p>
      <w:r>
        <w:rPr>
          <w:b w:val="0"/>
        </w:rPr>
        <w:t>Antes da entrega acadêmica, a equipe deve preencher os nomes dos integrantes, incorporar sua identidade visual e revisar este dimensionamento em conjunto. O enunciado indica entrega e apresentação em 17/09. O material técnico deve ser apresentado como proposta e memória de cálculo, com suas premissas e limites. [1, p. 6]</w:t>
      </w:r>
    </w:p>
    <w:p>
      <w:pPr>
        <w:pStyle w:val="Heading1"/>
        <w:pageBreakBefore/>
      </w:pPr>
      <w:r>
        <w:t>15 Validação e roteiro de simulação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Teste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  <w:shd w:fill="E6EDF1"/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sz w:val="19"/>
              </w:rPr>
              <w:t>Critério de aceite e evidência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Cabeamento horizontal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108 relatórios de enlace permanente Cat6 aprovados; conferir mapa de fios, comprimento e parâmetros do certificador.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Fibra e uplinks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Polaridade e perda dentro do orçamento óptico dos transceptores; enlace a 10 Gb/s sem erros anormais.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IP DHCP e DNS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Cliente recebe rede, máscara, gateway e DNS corretos; nomes internos resolvem nos dois DNS corporativos.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Isolamento de visitantes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Acessa a Internet; falha ao alcançar os prefixos internos do terminal, gerência, câmeras e storage.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Políticas dos usuários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Impressão e aplicação autorizadas funcionam; portas de administração e storage ficam bloqueadas.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Voz e videoconferência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Ramais previstos registrados; chamadas internas e externas autorizadas; quatro salas funcionam simultaneamente.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WiFi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Medir todas as áreas úteis e salas com portas fechadas; meta −67 dBm, SNR 25 dB e teste de carga com mobilidade.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Câmeras e controle de acesso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Oito imagens com horário correto, reprodução e exportação; eventos das três portas registrados.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Storage e backup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Validar volume útil, quota e retenção estimada; restaurar arquivo e configuração em ambiente de teste.</w:t>
            </w:r>
          </w:p>
        </w:tc>
      </w:tr>
      <w:tr>
        <w:trPr>
          <w:cantSplit/>
        </w:trPr>
        <w:tc>
          <w:tcPr>
            <w:tcW w:type="dxa" w:w="2448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Energia e documentação</w:t>
            </w:r>
          </w:p>
        </w:tc>
        <w:tc>
          <w:tcPr>
            <w:tcW w:type="dxa" w:w="7776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sz w:val="19"/>
              </w:rPr>
              <w:t>Testar desligamento controlado e meta de autonomia; comparar planta, etiquetas, patch panels e inventário.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Roteiro para o Packet Tracer</w:t>
      </w:r>
    </w:p>
    <w:p>
      <w:r>
        <w:rPr>
          <w:b w:val="0"/>
        </w:rPr>
        <w:t>1. Representar o gateway por um roteador com subinterfaces 802.1Q, o core por um switch de agregação e os três switches de acesso por modelos disponíveis. Usar terminais representativos por VLAN e anotações com os quantitativos reais. A substituição é didática, sem equivalência automática de desempenho.</w:t>
      </w:r>
    </w:p>
    <w:p>
      <w:r>
        <w:rPr>
          <w:b w:val="0"/>
        </w:rPr>
        <w:t>2. Criar VLANs 110, 120, 130, 140, 150, 160, 170, 180, 190 e 200. Configurar trunks e portas de acesso. Criar gateways .1 no roteador apenas para as VLANs roteadas; a VLAN 180 deve existir somente nas portas dos três servidores de storage e do NAS, sem subinterface no gateway.</w:t>
      </w:r>
    </w:p>
    <w:p>
      <w:r>
        <w:rPr>
          <w:b w:val="0"/>
        </w:rPr>
        <w:t>3. Configurar os quatro escopos DHCP da seção 7 e endereços fixos. Representar o DNS em servidor e aplicar ACLs coerentes com a matriz de fluxos. Acrescentar o roteador do campus, o enlace de trânsito e as rotas de ida e volta.</w:t>
      </w:r>
    </w:p>
    <w:p>
      <w:r>
        <w:rPr>
          <w:b w:val="0"/>
        </w:rPr>
        <w:t>4. Demonstrar comunicação autorizada, falha de acesso de visitantes à rede interna e indisponibilidade ao retirar um uplink. Salvar o .pkt e as capturas, registrando versão e limitações. A simulação lógica não certifica cabo, PoE, cobertura WiFi, retenção de vídeo, autonomia de nobreak ou desempenho de equipamentos reais.</w:t>
      </w:r>
    </w:p>
    <w:p>
      <w:r>
        <w:rPr>
          <w:b/>
        </w:rPr>
        <w:t>Registro de evidência sugerido: código do teste, data, origem, destino, resultado esperado, resultado observado, captura ou laudo e responsável. Os testes acima são critérios propostos; nenhum resultado foi declarado como executado neste documento.</w:t>
      </w:r>
    </w:p>
    <w:p>
      <w:pPr>
        <w:pStyle w:val="Heading1"/>
        <w:pageBreakBefore/>
      </w:pPr>
      <w:r>
        <w:t>16 Referências</w:t>
      </w:r>
    </w:p>
    <w:p>
      <w:r>
        <w:rPr>
          <w:b w:val="0"/>
        </w:rPr>
        <w:t>As páginas indicadas para os materiais didáticos correspondem à ordem das páginas dos PDFs fornecidos. As referências de fabricante foram consultadas em 16/09/2026. O projeto usa os conceitos das aulas e explicita suas próprias premissas de capacidade, metragens e custos.</w:t>
      </w:r>
    </w:p>
    <w:p>
      <w:pPr>
        <w:spacing w:after="120"/>
      </w:pPr>
      <w:r>
        <w:rPr>
          <w:b w:val="0"/>
          <w:sz w:val="18"/>
        </w:rPr>
        <w:t>[1] UNDB. Problema 1 Desafios para conectividade empresarial. Disciplina UNDB 4.0 Infraestrutura de Redes, semestre 2026.2. Professor Arlley Costa. PDF fornecido, p. 3–6; planta do administrativo na p. 4 e requisitos na p. 5.</w:t>
      </w:r>
    </w:p>
    <w:p>
      <w:pPr>
        <w:spacing w:after="120"/>
      </w:pPr>
      <w:r>
        <w:rPr>
          <w:b w:val="0"/>
          <w:sz w:val="18"/>
        </w:rPr>
        <w:t>[2] Material didático UA I Fundamentos redes de computadores. PDF fornecido. Conceitos de redes, protocolos, compartilhamento e aplicações.</w:t>
      </w:r>
    </w:p>
    <w:p>
      <w:pPr>
        <w:spacing w:after="120"/>
      </w:pPr>
      <w:r>
        <w:rPr>
          <w:b w:val="0"/>
          <w:sz w:val="18"/>
        </w:rPr>
        <w:t>[3] Material didático UA I Topologias tipos e meios de comunicação. PDF fornecido, p. 14–15, 24–29 e 33–50. Arquitetura cliente-servidor, acesso sem fio, topologias e ativos.</w:t>
      </w:r>
    </w:p>
    <w:p>
      <w:pPr>
        <w:spacing w:after="120"/>
      </w:pPr>
      <w:r>
        <w:rPr>
          <w:b w:val="0"/>
          <w:sz w:val="18"/>
        </w:rPr>
        <w:t>[4] Material didático UA I Projeto de infraestrutura de redes. PDF fornecido, p. 19–35 e 38–43. Sala técnica, backbone, limites do cabeamento, tomadas e hierarquia de distribuição.</w:t>
      </w:r>
    </w:p>
    <w:p>
      <w:pPr>
        <w:spacing w:after="120"/>
      </w:pPr>
      <w:r>
        <w:rPr>
          <w:b w:val="0"/>
          <w:sz w:val="18"/>
        </w:rPr>
        <w:t>[5] Material didático UA II Protocolos e modelos. PDF fornecido, p. 27–32. Conjuntos de protocolos e modelos OSI e TCP/IP.</w:t>
      </w:r>
    </w:p>
    <w:p>
      <w:pPr>
        <w:spacing w:after="120"/>
      </w:pPr>
      <w:r>
        <w:rPr>
          <w:b w:val="0"/>
          <w:sz w:val="18"/>
        </w:rPr>
        <w:t>[6] Material didático UA II Principais Protocolos da Internet. PDF fornecido, p. 7–12 e 17. DNS, DHCP, HTTPS e segurança de acesso.</w:t>
      </w:r>
    </w:p>
    <w:p>
      <w:pPr>
        <w:spacing w:after="120"/>
      </w:pPr>
      <w:r>
        <w:rPr>
          <w:b w:val="0"/>
          <w:sz w:val="18"/>
        </w:rPr>
        <w:t>[7] TP-Link. SG3452XP. Portas de acesso, uplinks 10G e orçamento PoE. https://www.tp-link.com/uk/business-networking/omada-switch-poe/sg3452xp/</w:t>
      </w:r>
    </w:p>
    <w:p>
      <w:pPr>
        <w:spacing w:after="120"/>
      </w:pPr>
      <w:r>
        <w:rPr>
          <w:b w:val="0"/>
          <w:sz w:val="18"/>
        </w:rPr>
        <w:t>[8] TP-Link. EAP650. Ficha técnica do access point. https://static.tp-link.com/upload/product-overview/2025/202512/20251230/DATASHEET_EAP650.pdf</w:t>
      </w:r>
    </w:p>
    <w:p>
      <w:pPr>
        <w:spacing w:after="120"/>
      </w:pPr>
      <w:r>
        <w:rPr>
          <w:b w:val="0"/>
          <w:sz w:val="18"/>
        </w:rPr>
        <w:t>[9] TP-Link. SX3016F. Switch de agregação com 16 portas SFP+. https://www.tp-link.com/uk/business-networking/omada-switch-l3-l2-managed/sx3016f/v1.20/</w:t>
      </w:r>
    </w:p>
    <w:p>
      <w:pPr>
        <w:spacing w:after="120"/>
      </w:pPr>
      <w:r>
        <w:rPr>
          <w:b w:val="0"/>
          <w:sz w:val="18"/>
        </w:rPr>
        <w:t>[10] Grandstream. GRP2602. Ficha técnica e variantes PoE. https://www.grandstream.com/hubfs/Product_Documentation/Datasheet_GRP2602_English.pdf</w:t>
      </w:r>
    </w:p>
    <w:p>
      <w:pPr>
        <w:spacing w:after="120"/>
      </w:pPr>
      <w:r>
        <w:rPr>
          <w:b w:val="0"/>
          <w:sz w:val="18"/>
        </w:rPr>
        <w:t>[11] Grandstream. UCM630x Series User Manual. https://documentation.grandstream.com/knowledge-base/ucm630x-series-user-manual/</w:t>
      </w:r>
    </w:p>
    <w:p>
      <w:pPr>
        <w:spacing w:after="120"/>
      </w:pPr>
      <w:r>
        <w:rPr>
          <w:b w:val="0"/>
          <w:sz w:val="18"/>
        </w:rPr>
        <w:t>[12] Logitech. MeetUp. Conexão USB e integração com computador de sala. https://www.logitech.com/en-in/products/video-conferencing/conference-cameras/meetup-conferencecam.html</w:t>
      </w:r>
    </w:p>
    <w:p>
      <w:pPr>
        <w:spacing w:after="120"/>
      </w:pPr>
      <w:r>
        <w:rPr>
          <w:b w:val="0"/>
          <w:sz w:val="18"/>
        </w:rPr>
        <w:t>[13] TP-Link. ER8411. Ficha técnica de interfaces. https://static.tp-link.com/upload/product-overview/2023/202304/20230424/ER8411%28UN%291.0_Datasheet.pdf</w:t>
      </w:r>
    </w:p>
    <w:p>
      <w:pPr>
        <w:spacing w:after="120"/>
      </w:pPr>
      <w:r>
        <w:rPr>
          <w:b w:val="0"/>
          <w:sz w:val="18"/>
        </w:rPr>
        <w:t>[14] Dell. PowerEdge R350 Technical Specifications. https://downloads.dell.com/topicspdf/poweredge-r350_Owners-Manual2_en-us.pdf</w:t>
      </w:r>
    </w:p>
    <w:p>
      <w:pPr>
        <w:spacing w:after="120"/>
      </w:pPr>
      <w:r>
        <w:rPr>
          <w:b w:val="0"/>
          <w:sz w:val="18"/>
        </w:rPr>
        <w:t>[15] Synology. Lista de compatibilidade do RS1221+ para interfaces de rede, incluindo E10G30-F2. https://www.synology.com/en-uk/compatibility?category=network_interface_cards&amp;model=RS1221%2B&amp;p=1&amp;search_by=products</w:t>
      </w:r>
    </w:p>
    <w:p>
      <w:pPr>
        <w:spacing w:after="120"/>
      </w:pPr>
      <w:r>
        <w:rPr>
          <w:b w:val="0"/>
          <w:sz w:val="18"/>
        </w:rPr>
        <w:t>[16] Intelbras. VIP 1230 B G4 e VIP 1230 D G4. Ficha técnica de resolução, PoE e proteção IP67. https://backend.intelbras.com/sites/default/files/2023-11/Datasheet%20UNIFICADO%20-%20VIP%201230%20B.D.G4-V3_0.pdf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Prédio administrativo TP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44B63"/>
      <w:sz w:val="32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44B63"/>
      <w:sz w:val="24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44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Arial" w:hAnsi="Arial"/>
      <w:i/>
      <w:iCs/>
      <w:color w:val="56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Arial" w:hAnsi="Arial"/>
      <w:b/>
      <w:bCs/>
      <w:color w:val="56626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infraestrutura de redes do prédio administrativo</dc:title>
  <dc:subject>Problema 1 Desafios para conectividade empresarial</dc:subject>
  <dc:creator>Equipe do projeto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