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IAS 19 Severance Pay Valuation System</w:t>
      </w:r>
    </w:p>
    <w:p/>
    <w:p>
      <w:pPr>
        <w:pStyle w:val="Heading1"/>
      </w:pPr>
      <w:r>
        <w:t>Project Description</w:t>
      </w:r>
    </w:p>
    <w:p>
      <w:r>
        <w:t>A full actuarial system for calculating a company's severance pay liability under the international accounting standard IAS 19 – Employee Benefits.</w:t>
        <w:br/>
        <w:br/>
        <w:t>The system computes the Present Value of the Defined Benefit Obligation (DBO) for each employee individually, using the Projected Unit Credit (PUC) method with demographic, employment, and financial data.</w:t>
      </w:r>
    </w:p>
    <w:p>
      <w:pPr>
        <w:pStyle w:val="Heading1"/>
      </w:pPr>
      <w:r>
        <w:t>What the System Does</w:t>
      </w:r>
    </w:p>
    <w:p>
      <w:pPr>
        <w:pStyle w:val="ListBullet"/>
      </w:pPr>
      <w:r>
        <w:t>Reads employee data from a single Excel source file</w:t>
      </w:r>
    </w:p>
    <w:p>
      <w:pPr>
        <w:pStyle w:val="ListBullet"/>
      </w:pPr>
      <w:r>
        <w:t>Calculates the DBO for each active employee as of 31/12/2023</w:t>
      </w:r>
    </w:p>
    <w:p>
      <w:pPr>
        <w:pStyle w:val="ListBullet"/>
      </w:pPr>
      <w:r>
        <w:t>Employees who terminated employment receive a liability of 0</w:t>
      </w:r>
    </w:p>
    <w:p>
      <w:pPr>
        <w:pStyle w:val="ListBullet"/>
      </w:pPr>
      <w:r>
        <w:t>Produces a summary results file and an interactive dashboard</w:t>
      </w:r>
    </w:p>
    <w:p>
      <w:pPr>
        <w:pStyle w:val="Heading1"/>
      </w:pPr>
      <w:r>
        <w:t>Actuarial Methodology</w:t>
      </w:r>
    </w:p>
    <w:p>
      <w:pPr>
        <w:pStyle w:val="Heading2"/>
      </w:pPr>
      <w:r>
        <w:t>Valuation Formula</w:t>
      </w:r>
    </w:p>
    <w:p>
      <w:r>
        <w:t>DBO = sum over t from 1 to T of:  p_t  x  B_t  x  v_t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Symbol</w:t>
            </w:r>
          </w:p>
        </w:tc>
        <w:tc>
          <w:tcPr>
            <w:tcW w:type="dxa" w:w="4320"/>
          </w:tcPr>
          <w:p>
            <w:r>
              <w:t>Meaning</w:t>
            </w:r>
          </w:p>
        </w:tc>
      </w:tr>
      <w:tr>
        <w:tc>
          <w:tcPr>
            <w:tcW w:type="dxa" w:w="4320"/>
          </w:tcPr>
          <w:p>
            <w:r>
              <w:t>t</w:t>
            </w:r>
          </w:p>
        </w:tc>
        <w:tc>
          <w:tcPr>
            <w:tcW w:type="dxa" w:w="4320"/>
          </w:tcPr>
          <w:p>
            <w:r>
              <w:t>Future projection year</w:t>
            </w:r>
          </w:p>
        </w:tc>
      </w:tr>
      <w:tr>
        <w:tc>
          <w:tcPr>
            <w:tcW w:type="dxa" w:w="4320"/>
          </w:tcPr>
          <w:p>
            <w:r>
              <w:t>p_t</w:t>
            </w:r>
          </w:p>
        </w:tc>
        <w:tc>
          <w:tcPr>
            <w:tcW w:type="dxa" w:w="4320"/>
          </w:tcPr>
          <w:p>
            <w:r>
              <w:t>Cumulative survival probability to year t</w:t>
            </w:r>
          </w:p>
        </w:tc>
      </w:tr>
      <w:tr>
        <w:tc>
          <w:tcPr>
            <w:tcW w:type="dxa" w:w="4320"/>
          </w:tcPr>
          <w:p>
            <w:r>
              <w:t>B_t</w:t>
            </w:r>
          </w:p>
        </w:tc>
        <w:tc>
          <w:tcPr>
            <w:tcW w:type="dxa" w:w="4320"/>
          </w:tcPr>
          <w:p>
            <w:r>
              <w:t>Expected benefit payment upon exit in year t</w:t>
            </w:r>
          </w:p>
        </w:tc>
      </w:tr>
    </w:tbl>
    <w:p/>
    <w:p>
      <w:pPr>
        <w:pStyle w:val="Heading2"/>
      </w:pPr>
      <w:r>
        <w:t>Exit Probabilities</w:t>
      </w:r>
    </w:p>
    <w:p>
      <w:r>
        <w:t>p_t = product from s=1 to t-1 of (1 - q_dismissal - q_resignation - q_mortality)</w:t>
        <w:br/>
        <w:br/>
        <w:t>- Dismissal: age-band rates from the assumptions sheet</w:t>
        <w:br/>
        <w:t>- Resignation: age-band rates from the assumptions sheet</w:t>
        <w:br/>
        <w:t>- Mortality: official mortality tables (male / female)</w:t>
      </w:r>
    </w:p>
    <w:p>
      <w:pPr>
        <w:pStyle w:val="Heading2"/>
      </w:pPr>
      <w:r>
        <w:t>Benefits by Exit Type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Event</w:t>
            </w:r>
          </w:p>
        </w:tc>
        <w:tc>
          <w:tcPr>
            <w:tcW w:type="dxa" w:w="2880"/>
          </w:tcPr>
          <w:p>
            <w:r>
              <w:t>Benefit (tenure &lt; 5 yrs)</w:t>
            </w:r>
          </w:p>
        </w:tc>
        <w:tc>
          <w:tcPr>
            <w:tcW w:type="dxa" w:w="2880"/>
          </w:tcPr>
          <w:p>
            <w:r>
              <w:t>Benefit (tenure &gt;= 5 yrs)</w:t>
            </w:r>
          </w:p>
        </w:tc>
      </w:tr>
      <w:tr>
        <w:tc>
          <w:tcPr>
            <w:tcW w:type="dxa" w:w="2880"/>
          </w:tcPr>
          <w:p>
            <w:r>
              <w:t>Dismissal</w:t>
            </w:r>
          </w:p>
        </w:tc>
        <w:tc>
          <w:tcPr>
            <w:tcW w:type="dxa" w:w="2880"/>
          </w:tcPr>
          <w:p>
            <w:r>
              <w:t>Salary x tenure x Section 14 factor</w:t>
            </w:r>
          </w:p>
        </w:tc>
        <w:tc>
          <w:tcPr>
            <w:tcW w:type="dxa" w:w="2880"/>
          </w:tcPr>
          <w:p>
            <w:r>
              <w:t>max(legal severance, plan assets)</w:t>
            </w:r>
          </w:p>
        </w:tc>
      </w:tr>
      <w:tr>
        <w:tc>
          <w:tcPr>
            <w:tcW w:type="dxa" w:w="2880"/>
          </w:tcPr>
          <w:p>
            <w:r>
              <w:t>Resignation</w:t>
            </w:r>
          </w:p>
        </w:tc>
        <w:tc>
          <w:tcPr>
            <w:tcW w:type="dxa" w:w="2880"/>
          </w:tcPr>
          <w:p>
            <w:r>
              <w:t>Plan assets</w:t>
            </w:r>
          </w:p>
        </w:tc>
        <w:tc>
          <w:tcPr>
            <w:tcW w:type="dxa" w:w="2880"/>
          </w:tcPr>
          <w:p>
            <w:r>
              <w:t>Plan assets</w:t>
            </w:r>
          </w:p>
        </w:tc>
      </w:tr>
      <w:tr>
        <w:tc>
          <w:tcPr>
            <w:tcW w:type="dxa" w:w="2880"/>
          </w:tcPr>
          <w:p>
            <w:r>
              <w:t>Death</w:t>
            </w:r>
          </w:p>
        </w:tc>
        <w:tc>
          <w:tcPr>
            <w:tcW w:type="dxa" w:w="2880"/>
          </w:tcPr>
          <w:p>
            <w:r>
              <w:t>Salary x tenure x Section 14 factor</w:t>
            </w:r>
          </w:p>
        </w:tc>
        <w:tc>
          <w:tcPr>
            <w:tcW w:type="dxa" w:w="2880"/>
          </w:tcPr>
          <w:p>
            <w:r>
              <w:t>max(legal severance, plan assets)</w:t>
            </w:r>
          </w:p>
        </w:tc>
      </w:tr>
      <w:tr>
        <w:tc>
          <w:tcPr>
            <w:tcW w:type="dxa" w:w="2880"/>
          </w:tcPr>
          <w:p>
            <w:r>
              <w:t>Retirement</w:t>
            </w:r>
          </w:p>
        </w:tc>
        <w:tc>
          <w:tcPr>
            <w:tcW w:type="dxa" w:w="2880"/>
          </w:tcPr>
          <w:p>
            <w:r>
              <w:t>Salary x tenure x Section 14 factor</w:t>
            </w:r>
          </w:p>
        </w:tc>
        <w:tc>
          <w:tcPr>
            <w:tcW w:type="dxa" w:w="2880"/>
          </w:tcPr>
          <w:p>
            <w:r>
              <w:t>max(legal severance, plan assets)</w:t>
            </w:r>
          </w:p>
        </w:tc>
      </w:tr>
    </w:tbl>
    <w:p/>
    <w:p>
      <w:pPr>
        <w:pStyle w:val="Heading2"/>
      </w:pPr>
      <w:r>
        <w:t>Discount Curve</w:t>
      </w:r>
    </w:p>
    <w:p>
      <w:r>
        <w:t>The discount rate is taken from an annual yield curve in the assumptions sheet — a different rate is applied for each projection year.</w:t>
      </w:r>
    </w:p>
    <w:p>
      <w:pPr>
        <w:pStyle w:val="Heading2"/>
      </w:pPr>
      <w:r>
        <w:t>Section 14 Treatment</w:t>
      </w:r>
    </w:p>
    <w:p>
      <w:r>
        <w:t>A Section 14 factor is calculated per employee based on:</w:t>
        <w:br/>
        <w:t>- Coverage percentage</w:t>
        <w:br/>
        <w:t>- Section 14 start date relative to employment start date</w:t>
        <w:br/>
        <w:t>- Existence of plan assets</w:t>
      </w:r>
    </w:p>
    <w:p>
      <w:pPr>
        <w:pStyle w:val="Heading1"/>
      </w:pPr>
      <w:r>
        <w:t>Project Structure</w:t>
      </w:r>
    </w:p>
    <w:p>
      <w:r>
        <w:t>input/</w:t>
        <w:br/>
        <w:t xml:space="preserve">    data10.xlsx          - Employee data + assumptions sheet</w:t>
        <w:br/>
        <w:t xml:space="preserve">    mortality_table.xlsx - Mortality tables (male / female)</w:t>
        <w:br/>
        <w:br/>
        <w:t>output/</w:t>
        <w:br/>
        <w:t xml:space="preserve">    results_ias19.xlsx   - Calculation results</w:t>
        <w:br/>
        <w:br/>
        <w:t>src/</w:t>
        <w:br/>
        <w:t xml:space="preserve">    ias19_project.py     - Actuarial calculation engine</w:t>
        <w:br/>
        <w:t xml:space="preserve">    ias19_dashboard.py   - Streamlit dashboard</w:t>
      </w:r>
    </w:p>
    <w:p>
      <w:pPr>
        <w:pStyle w:val="Heading1"/>
      </w:pPr>
      <w:r>
        <w:t>Running the System</w:t>
      </w:r>
    </w:p>
    <w:p>
      <w:pPr>
        <w:pStyle w:val="Heading2"/>
      </w:pPr>
      <w:r>
        <w:t>Requirements</w:t>
      </w:r>
    </w:p>
    <w:p>
      <w:r>
        <w:t>pip install pandas openpyxl streamlit plotly</w:t>
      </w:r>
    </w:p>
    <w:p>
      <w:pPr>
        <w:pStyle w:val="Heading2"/>
      </w:pPr>
      <w:r>
        <w:t>Step 1 – Run the Calculation</w:t>
      </w:r>
    </w:p>
    <w:p>
      <w:r>
        <w:t>python src/ias19_project.py</w:t>
        <w:br/>
        <w:br/>
        <w:t>Output is saved to output/results_ias19.xlsx</w:t>
      </w:r>
    </w:p>
    <w:p>
      <w:pPr>
        <w:pStyle w:val="Heading2"/>
      </w:pPr>
      <w:r>
        <w:t>Step 2 – Open the Dashboard</w:t>
      </w:r>
    </w:p>
    <w:p>
      <w:r>
        <w:t>streamlit run src/ias19_dashboard.py</w:t>
      </w:r>
    </w:p>
    <w:p>
      <w:pPr>
        <w:pStyle w:val="Heading1"/>
      </w:pPr>
      <w:r>
        <w:t>Dashboard</w:t>
      </w:r>
    </w:p>
    <w:p>
      <w:r>
        <w:t>The dashboard displays:</w:t>
      </w:r>
    </w:p>
    <w:p>
      <w:pPr>
        <w:pStyle w:val="ListBullet"/>
      </w:pPr>
      <w:r>
        <w:t>KPI Cards — total liability, plan assets, net liability, average per employee</w:t>
      </w:r>
    </w:p>
    <w:p>
      <w:pPr>
        <w:pStyle w:val="ListBullet"/>
      </w:pPr>
      <w:r>
        <w:t>Bar Chart — liability by employee (split by gender)</w:t>
      </w:r>
    </w:p>
    <w:p>
      <w:pPr>
        <w:pStyle w:val="ListBullet"/>
      </w:pPr>
      <w:r>
        <w:t>Pie Chart — gender breakdown</w:t>
      </w:r>
    </w:p>
    <w:p>
      <w:pPr>
        <w:pStyle w:val="ListBullet"/>
      </w:pPr>
      <w:r>
        <w:t>Histograms — age and tenure distributions</w:t>
      </w:r>
    </w:p>
    <w:p>
      <w:pPr>
        <w:pStyle w:val="ListBullet"/>
      </w:pPr>
      <w:r>
        <w:t>Scatter Plot — salary vs. liability</w:t>
      </w:r>
    </w:p>
    <w:p>
      <w:pPr>
        <w:pStyle w:val="ListBullet"/>
      </w:pPr>
      <w:r>
        <w:t>Age Group Analysis — liability aggregated by age band</w:t>
      </w:r>
    </w:p>
    <w:p>
      <w:pPr>
        <w:pStyle w:val="ListBullet"/>
      </w:pPr>
      <w:r>
        <w:t>Employee Cards — full detail per employee with search and filter</w:t>
      </w:r>
    </w:p>
    <w:p>
      <w:pPr>
        <w:pStyle w:val="ListBullet"/>
      </w:pPr>
      <w:r>
        <w:t>Full Data Table — all columns with export to Excel</w:t>
      </w:r>
    </w:p>
    <w:p>
      <w:pPr>
        <w:pStyle w:val="Heading1"/>
      </w:pPr>
      <w:r>
        <w:t>Submission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Standard</w:t>
            </w:r>
          </w:p>
        </w:tc>
        <w:tc>
          <w:tcPr>
            <w:tcW w:type="dxa" w:w="4320"/>
          </w:tcPr>
          <w:p>
            <w:r>
              <w:t>IAS 19 – Employee Benefits</w:t>
            </w:r>
          </w:p>
        </w:tc>
      </w:tr>
      <w:tr>
        <w:tc>
          <w:tcPr>
            <w:tcW w:type="dxa" w:w="4320"/>
          </w:tcPr>
          <w:p>
            <w:r>
              <w:t>Method</w:t>
            </w:r>
          </w:p>
        </w:tc>
        <w:tc>
          <w:tcPr>
            <w:tcW w:type="dxa" w:w="4320"/>
          </w:tcPr>
          <w:p>
            <w:r>
              <w:t>Projected Unit Credit (PUC)</w:t>
            </w:r>
          </w:p>
        </w:tc>
      </w:tr>
      <w:tr>
        <w:tc>
          <w:tcPr>
            <w:tcW w:type="dxa" w:w="4320"/>
          </w:tcPr>
          <w:p>
            <w:r>
              <w:t>Valuation Date</w:t>
            </w:r>
          </w:p>
        </w:tc>
        <w:tc>
          <w:tcPr>
            <w:tcW w:type="dxa" w:w="4320"/>
          </w:tcPr>
          <w:p>
            <w:r>
              <w:t>31/12/2023</w:t>
            </w:r>
          </w:p>
        </w:tc>
      </w:tr>
      <w:tr>
        <w:tc>
          <w:tcPr>
            <w:tcW w:type="dxa" w:w="4320"/>
          </w:tcPr>
          <w:p>
            <w:r>
              <w:t>Reporting Date</w:t>
            </w:r>
          </w:p>
        </w:tc>
        <w:tc>
          <w:tcPr>
            <w:tcW w:type="dxa" w:w="4320"/>
          </w:tcPr>
          <w:p>
            <w:r>
              <w:t>31/12/2024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