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要件定義書：マイナンバーの登録・暗号化・マスキング表示機能</w:t>
      </w:r>
    </w:p>
    <w:p>
      <w:pPr>
        <w:pStyle w:val="Heading2"/>
      </w:pPr>
      <w:r>
        <w:t>1. 機能概要</w:t>
      </w:r>
    </w:p>
    <w:p>
      <w:r>
        <w:t>本機能は、顧客のマイナンバー情報を安全に取り扱うための登録、暗号化、およびマスキング表示を行う機能である。</w:t>
      </w:r>
    </w:p>
    <w:p>
      <w:pPr>
        <w:pStyle w:val="Heading2"/>
      </w:pPr>
      <w:r>
        <w:t>2. 対象ユーザー</w:t>
      </w:r>
    </w:p>
    <w:p>
      <w:r>
        <w:t>顧客情報を取り扱う社内担当者（認証されたユーザー）のみが本機能を利用可能。</w:t>
      </w:r>
    </w:p>
    <w:p>
      <w:pPr>
        <w:pStyle w:val="Heading2"/>
      </w:pPr>
      <w:r>
        <w:t>3. 機能詳細</w:t>
      </w:r>
    </w:p>
    <w:p>
      <w:pPr>
        <w:pStyle w:val="Heading3"/>
      </w:pPr>
      <w:r>
        <w:t>3.1 マイナンバー登録機能</w:t>
      </w:r>
    </w:p>
    <w:p>
      <w:r>
        <w:t>- 顧客情報入力画面にて、マイナンバー（12桁）を入力可能。</w:t>
        <w:br/>
        <w:t>- 入力時に形式チェック（数字12桁）を実施。</w:t>
        <w:br/>
        <w:t>- 登録時に暗号化処理を行い、DBには暗号化された値を保存。</w:t>
      </w:r>
    </w:p>
    <w:p>
      <w:pPr>
        <w:pStyle w:val="Heading3"/>
      </w:pPr>
      <w:r>
        <w:t>3.2 暗号化処理</w:t>
      </w:r>
    </w:p>
    <w:p>
      <w:r>
        <w:t>- AES256方式による暗号化を採用。</w:t>
        <w:br/>
        <w:t>- 暗号鍵はシステム管理者のみがアクセス可能な安全な領域に保管。</w:t>
        <w:br/>
        <w:t>- 復号処理は監査ログを記録し、必要時のみ実行可能。</w:t>
      </w:r>
    </w:p>
    <w:p>
      <w:pPr>
        <w:pStyle w:val="Heading3"/>
      </w:pPr>
      <w:r>
        <w:t>3.3 マスキング表示機能</w:t>
      </w:r>
    </w:p>
    <w:p>
      <w:r>
        <w:t>- 顧客詳細画面では、マイナンバーを「●●●●●●●●●●12」のように末尾2桁のみ表示。</w:t>
        <w:br/>
        <w:t>- マスキング表示は画面上のみで、データ自体は暗号化されたまま保持。</w:t>
        <w:br/>
        <w:t>- マスキング表示の解除は不可とし、完全に非表示とする。</w:t>
      </w:r>
    </w:p>
    <w:p>
      <w:pPr>
        <w:pStyle w:val="Heading2"/>
      </w:pPr>
      <w:r>
        <w:t>4. 非機能要件</w:t>
      </w:r>
    </w:p>
    <w:p>
      <w:r>
        <w:t>- セキュリティ：暗号化処理はOWASPの推奨に準拠。</w:t>
        <w:br/>
        <w:t>- パフォーマンス：登録・表示処理は1秒以内で完了すること。</w:t>
        <w:br/>
        <w:t>- 可用性：24時間365日稼働可能な構成とする。</w:t>
      </w:r>
    </w:p>
    <w:p>
      <w:pPr>
        <w:pStyle w:val="Heading2"/>
      </w:pPr>
      <w:r>
        <w:t>5. 監査・ログ</w:t>
      </w:r>
    </w:p>
    <w:p>
      <w:r>
        <w:t>- マイナンバーの登録・復号・表示に関する操作ログを記録。</w:t>
        <w:br/>
        <w:t>- ログは監査担当者のみが閲覧可能。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0" ma:contentTypeDescription="新しいドキュメントを作成します。" ma:contentTypeScope="" ma:versionID="3da05bf320933124d4cc96b6434150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d854ec148d7fa3f28b696a2ee3df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2C9C5A-0D98-48E6-B08C-88AF56C5296D}"/>
</file>

<file path=customXml/itemProps3.xml><?xml version="1.0" encoding="utf-8"?>
<ds:datastoreItem xmlns:ds="http://schemas.openxmlformats.org/officeDocument/2006/customXml" ds:itemID="{0C73F6B9-0033-4B37-A508-931041D6AFF4}"/>
</file>

<file path=customXml/itemProps4.xml><?xml version="1.0" encoding="utf-8"?>
<ds:datastoreItem xmlns:ds="http://schemas.openxmlformats.org/officeDocument/2006/customXml" ds:itemID="{790DDC24-DA5C-40BA-930D-949F689977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