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欧州評議会のRFCDC第1巻（2018年）用語集に示された、自文化中心主義（エスノセントリズム）の説明に合うものを一つ選びなさい。</w:t>
      </w:r>
    </w:p>
    <w:p>
      <w:pPr>
        <w:spacing w:after="60"/>
        <w:ind w:left="360"/>
      </w:pPr>
      <w:r>
        <w:t>1. 自文化を中心的な尺度として他文化を評価し、自集団のやり方を他集団より優れたものとみなす見方である。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日本語学校の学習者Aさん（来日3か月）が、母国の習慣について尋ねられ、「自分の国は遅れているから、日本のやり方がすべて正しい」と話したとする。RFCDC第1巻（2018年）の開放性と尊重の説明に沿う教師の対応を一つ選べ。</w:t>
      </w:r>
    </w:p>
    <w:p>
      <w:pPr>
        <w:spacing w:after="60"/>
        <w:ind w:left="360"/>
      </w:pPr>
      <w:r>
        <w:t>1. 発言の背景を尋ねず、母国の文化が日本より優れていると結論付けるよう指導する。</w:t>
      </w:r>
    </w:p>
    <w:p>
      <w:pPr>
        <w:spacing w:after="60"/>
        <w:ind w:left="360"/>
      </w:pPr>
      <w:r>
        <w:t>2. 日本のやり方を全て正しいとする判断をそのまま肯定し、母国の習慣は全て捨てるよう勧める。</w:t>
      </w:r>
    </w:p>
    <w:p>
      <w:pPr>
        <w:spacing w:after="60"/>
        <w:ind w:left="360"/>
      </w:pPr>
      <w:r>
        <w:t>3. この発言だけで心理的な問題を確定し、本人の事情を聞かず、発言と他の学習者との交流を全面的に禁止する。</w:t>
      </w:r>
    </w:p>
    <w:p>
      <w:pPr>
        <w:spacing w:after="60"/>
        <w:ind w:left="360"/>
      </w:pPr>
      <w:r>
        <w:t>4. 何を経験してそう感じたかを尋ね、自他の見方を具体的に検討しながら、本人の文化への帰属や考えを選ぶ権利を尊重して対話する。</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欧州評議会のRFCDC第1巻（2018年）第5章が示す、文化的アイデンティティと文化への帰属の説明に合うものを一つ選びなさい。</w:t>
      </w:r>
    </w:p>
    <w:p>
      <w:pPr>
        <w:spacing w:after="60"/>
        <w:ind w:left="360"/>
      </w:pPr>
      <w:r>
        <w:t>1. 個人は複数の文化集団に同時に帰属し、状況や時間の経過に伴って、どの帰属が自分にとって重要かが変わり得る。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4. 一つの文化集団への帰属を持つ個人が別の文化集団にも帰属するには、それまでの帰属を全て失わなければならない。</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2026年10月18日に取得した各実施機関の公式説明に照らし、試験の目的・形式・評価方式について最も適切なものを一つ選べ。</w:t>
      </w:r>
    </w:p>
    <w:p>
      <w:pPr>
        <w:spacing w:after="60"/>
        <w:ind w:left="360"/>
      </w:pPr>
      <w:r>
        <w:t>1. EJUは、日本の大学（学部）等への入学を希望する外国人留学生について、日本語力と基礎学力を評価する。</w:t>
      </w:r>
    </w:p>
    <w:p>
      <w:pPr>
        <w:spacing w:after="60"/>
        <w:ind w:left="360"/>
      </w:pPr>
      <w:r>
        <w:t>2. BJTの結果は点数やレベルではなく、合格・不合格の2区分だけで通知される。</w:t>
      </w:r>
    </w:p>
    <w:p>
      <w:pPr>
        <w:spacing w:after="60"/>
        <w:ind w:left="360"/>
      </w:pPr>
      <w:r>
        <w:t>3. JLPTには、受験者が実際に会話する必須の口頭試験が組み込まれている。</w:t>
      </w:r>
    </w:p>
    <w:p>
      <w:pPr>
        <w:spacing w:after="60"/>
        <w:ind w:left="360"/>
      </w:pPr>
      <w:r>
        <w:t>4. ACTFLのOPIは、面接で発話を引き出さず、紙の選択式回答だけから話す力を評価する。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国際交流基金の公式紹介に記された、同基金の設立と組織形態の変化について、最も適切なものを一つ選べ。</w:t>
      </w:r>
    </w:p>
    <w:p>
      <w:pPr>
        <w:spacing w:after="60"/>
        <w:ind w:left="360"/>
      </w:pPr>
      <w:r>
        <w:t>1. 1972年に独立行政法人として設立され、その後も組織形態は変わっていない。</w:t>
      </w:r>
    </w:p>
    <w:p>
      <w:pPr>
        <w:spacing w:after="60"/>
        <w:ind w:left="360"/>
      </w:pPr>
      <w:r>
        <w:t>2. 1983年に初めて設立されたため、1970年代には国際交流基金という組織は存在しなかった。</w:t>
      </w:r>
    </w:p>
    <w:p>
      <w:pPr>
        <w:spacing w:after="60"/>
        <w:ind w:left="360"/>
      </w:pPr>
      <w:r>
        <w:t>3. 1972年に外務省所管の特殊法人として設立され、2003年10月1日に独立行政法人となった。</w:t>
      </w:r>
    </w:p>
    <w:p>
      <w:pPr>
        <w:spacing w:after="60"/>
        <w:ind w:left="360"/>
      </w:pPr>
      <w:r>
        <w:t>4. 2003年10月1日に独立行政法人から特殊法人へ変更された。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2026年10月18日に取得した日本語能力試験（JLPT）の公式FAQに照らし、最も適切なものを一つ選べ。</w:t>
      </w:r>
    </w:p>
    <w:p>
      <w:pPr>
        <w:spacing w:after="60"/>
        <w:ind w:left="360"/>
      </w:pPr>
      <w:r>
        <w:t>1. JLPTは、大学院での論文執筆能力だけを測定・認定することを目的とする。</w:t>
      </w:r>
    </w:p>
    <w:p>
      <w:pPr>
        <w:spacing w:after="60"/>
        <w:ind w:left="360"/>
      </w:pPr>
      <w:r>
        <w:t>2. JLPTでは、会話と作文を実際に行わせる試験が全レベルに含まれる。</w:t>
      </w:r>
    </w:p>
    <w:p>
      <w:pPr>
        <w:spacing w:after="60"/>
        <w:ind w:left="360"/>
      </w:pPr>
      <w:r>
        <w:t>3. JLPTの認定は、提出先がどのような条件を設けていても、受験から一律2年で無効になる。</w:t>
      </w:r>
    </w:p>
    <w:p>
      <w:pPr>
        <w:spacing w:after="60"/>
        <w:ind w:left="360"/>
      </w:pPr>
      <w:r>
        <w:t>4. JLPTの得点は、問題ごとの配点の単純な合計ではなく、項目応答理論に基づく尺度得点方式で出される。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2026年度の日本留学試験（EJU）実施要項とJASSOの得点・日本語シラバスの説明に照らし、最も適切なものを一つ選べ。</w:t>
      </w:r>
    </w:p>
    <w:p>
      <w:pPr>
        <w:spacing w:after="60"/>
        <w:ind w:left="360"/>
      </w:pPr>
      <w:r>
        <w:t>1. 日本語の記述領域は、挨拶や自己紹介の定型文を正しく写す能力だけを問う。</w:t>
      </w:r>
    </w:p>
    <w:p>
      <w:pPr>
        <w:spacing w:after="60"/>
        <w:ind w:left="360"/>
      </w:pPr>
      <w:r>
        <w:t>2. 日本語科目は記述、読解、聴解・聴読解の3領域からなり、日本の大学等での勉学に対応する日本語力を測る。</w:t>
      </w:r>
    </w:p>
    <w:p>
      <w:pPr>
        <w:spacing w:after="60"/>
        <w:ind w:left="360"/>
      </w:pPr>
      <w:r>
        <w:t>3. 日本語の読解・聴解・聴読解の得点は、回次の違いを考慮せず、正答の配点を単純に合計した素点だけで表示する。</w:t>
      </w:r>
    </w:p>
    <w:p>
      <w:pPr>
        <w:spacing w:after="60"/>
        <w:ind w:left="360"/>
      </w:pPr>
      <w:r>
        <w:t>4. 日本語の記述も尺度得点だけで表示し、課題への対応を評価する採点基準は用いない。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国際交流基金の2021年度「海外日本語教育機関調査」報告書の結果について、最も適切なものを一つ選べ。数値は回答機関で学ぶ学習者の集計であり、独習者を含む全人口の推計ではない。</w:t>
      </w:r>
    </w:p>
    <w:p>
      <w:pPr>
        <w:spacing w:after="60"/>
        <w:ind w:left="360"/>
      </w:pPr>
      <w:r>
        <w:t>1. 学習目的・理由の回答では、アニメ・マンガ・J-POP・ファッション等への興味は調査項目から除かれている。</w:t>
      </w:r>
    </w:p>
    <w:p>
      <w:pPr>
        <w:spacing w:after="60"/>
        <w:ind w:left="360"/>
      </w:pPr>
      <w:r>
        <w:t>2. 学習者数の上位3か国は中国、インドネシア、韓国であり、地域別では東アジアと東南アジアの合計が全体の76.4％を占める。</w:t>
      </w:r>
    </w:p>
    <w:p>
      <w:pPr>
        <w:spacing w:after="60"/>
        <w:ind w:left="360"/>
      </w:pPr>
      <w:r>
        <w:t>3. 教育段階別の学習者数は初等教育が最多で、全体の7割以上を占める。</w:t>
      </w:r>
    </w:p>
    <w:p>
      <w:pPr>
        <w:spacing w:after="60"/>
        <w:ind w:left="360"/>
      </w:pPr>
      <w:r>
        <w:t>4. 学習者数の地域別割合は、西欧と東欧を合わせると全体の過半数になる。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Cummins（1976）の閾値仮説と、同論文が紹介する加算的・減算的バイリンガリズムの区別について、本文の説明に合うものを一つ選べ。</w:t>
      </w:r>
    </w:p>
    <w:p>
      <w:pPr>
        <w:spacing w:after="60"/>
        <w:ind w:left="360"/>
      </w:pPr>
      <w:r>
        <w:t>1. 閾値は、教育環境や第二言語を使う時間、そこで求められる認知的課題にかかわらず、全員に共通する固定的な値である。</w:t>
      </w:r>
    </w:p>
    <w:p>
      <w:pPr>
        <w:spacing w:after="60"/>
        <w:ind w:left="360"/>
      </w:pPr>
      <w:r>
        <w:t>2. 二言語で到達した言語能力の水準が、二言語学習経験と認知的発達との関係を媒介し得るという仮説である。</w:t>
      </w:r>
    </w:p>
    <w:p>
      <w:pPr>
        <w:spacing w:after="60"/>
        <w:ind w:left="360"/>
      </w:pPr>
      <w:r>
        <w:t>3. 加算的バイリンガリズムとは、第一言語が第二言語に徐々に置き換えられ、第一言語の能力が低下していく状況を指す。</w:t>
      </w:r>
    </w:p>
    <w:p>
      <w:pPr>
        <w:spacing w:after="60"/>
        <w:ind w:left="360"/>
      </w:pPr>
      <w:r>
        <w:t>4. 減算的バイリンガリズムとは、第一言語を第二言語に置き換えることなく、新しい言語を言語技能のレパートリーへ加える状況を指す。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アカデミック・ジャパニーズの段落構成を指導する。見延庄士郎「レポート・卒論の書き方初級編」の段落構成と推敲の説明に合うものを一つ選べ。</w:t>
      </w:r>
    </w:p>
    <w:p>
      <w:pPr>
        <w:spacing w:after="60"/>
        <w:ind w:left="360"/>
      </w:pPr>
      <w:r>
        <w:t>1. 各段落には、中心となる事項と関係のない話題も、順序を考えずに混在させる。</w:t>
      </w:r>
    </w:p>
    <w:p>
      <w:pPr>
        <w:spacing w:after="60"/>
        <w:ind w:left="360"/>
      </w:pPr>
      <w:r>
        <w:t>2. 段落の早い位置で扱う事項を示し、それに沿って内容をまとめ、段落間の論理の流れも点検する。</w:t>
      </w:r>
    </w:p>
    <w:p>
      <w:pPr>
        <w:spacing w:after="60"/>
        <w:ind w:left="360"/>
      </w:pPr>
      <w:r>
        <w:t>3. 推敲では個々の文の表現だけを直し、各段落が何を述べるかや、段落間のつながりは点検しない。</w:t>
      </w:r>
    </w:p>
    <w:p>
      <w:pPr>
        <w:spacing w:after="60"/>
        <w:ind w:left="360"/>
      </w:pPr>
      <w:r>
        <w:t>4. トピック・センテンスを置けば、段落の内容が乏しくても文章の説得力は保証される。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次の抜粋を、若者の読書傾向を論じるレポートとして見直す。名古屋大学「レポート課題に備える」の、問いへの答えと理由・根拠を吟味する方針に合う指導を一つ選べ。 【レポートの本文（抜粋）】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1. 「だから」を「したがって」に変えるだけで、主張を支える根拠を確かめずに完成とする。</w:t>
      </w:r>
    </w:p>
    <w:p>
      <w:pPr>
        <w:spacing w:after="60"/>
        <w:ind w:left="360"/>
      </w:pPr>
      <w:r>
        <w:t>2. 扱う問いと結論を整理し、読書傾向についての主張を支える資料の出所・調査方法・対象範囲を確かめ、根拠と自分の考察を区別して書き直す。</w:t>
      </w:r>
    </w:p>
    <w:p>
      <w:pPr>
        <w:spacing w:after="60"/>
        <w:ind w:left="360"/>
      </w:pPr>
      <w:r>
        <w:t>3. 自分の答えや考察をすべて削除し、集めた資料を問いとの関係を検討せずに並べる。</w:t>
      </w:r>
    </w:p>
    <w:p>
      <w:pPr>
        <w:spacing w:after="60"/>
        <w:ind w:left="360"/>
      </w:pPr>
      <w:r>
        <w:t>4. 「悲しい」を強い感情表現に変えれば根拠は十分になるので、資料の検討は行わない。</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欧州評議会の人権教育手引きCompassにおける、体験活動後の「デブリーフィングと評価」の進め方に合うものを一つ選べ。</w:t>
      </w:r>
    </w:p>
    <w:p>
      <w:pPr>
        <w:spacing w:after="60"/>
        <w:ind w:left="360"/>
      </w:pPr>
      <w:r>
        <w:t>1. 体験中の感情や学んだことには触れず、ゲームの勝敗の比較と表彰だけを行う。</w:t>
      </w:r>
    </w:p>
    <w:p>
      <w:pPr>
        <w:spacing w:after="60"/>
        <w:ind w:left="360"/>
      </w:pPr>
      <w:r>
        <w:t>2. 何が起きてどう感じたか、自分自身や扱った課題について何を学んだか、学びを今後どう生かすかを振り返る。</w:t>
      </w:r>
    </w:p>
    <w:p>
      <w:pPr>
        <w:spacing w:after="60"/>
        <w:ind w:left="360"/>
      </w:pPr>
      <w:r>
        <w:t>3. 進行役が唯一の答えを与え、参加者が互いの意見を聞いたり、自分で考えたりする機会を減らす。</w:t>
      </w:r>
    </w:p>
    <w:p>
      <w:pPr>
        <w:spacing w:after="60"/>
        <w:ind w:left="360"/>
      </w:pPr>
      <w:r>
        <w:t>4. 活動の時間を延ばすため、振り返りや話合いの時間を優先的に削り、省略する。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spacing w:after="60"/>
        <w:ind w:left="360"/>
      </w:pPr>
      <w:r>
        <w:t>1. Aさんの出身文化が劣っていると教師が決め、クラス全体の前で非難して従わせる。</w:t>
      </w:r>
    </w:p>
    <w:p>
      <w:pPr>
        <w:spacing w:after="60"/>
        <w:ind w:left="360"/>
      </w:pPr>
      <w:r>
        <w:t>2. 周囲の学習者に、Aさんの発言を無視し、話合いから排除するよう指示する。</w:t>
      </w:r>
    </w:p>
    <w:p>
      <w:pPr>
        <w:spacing w:after="60"/>
        <w:ind w:left="360"/>
      </w:pPr>
      <w:r>
        <w:t>3. 本人たちが話せる範囲で状況や考えを確かめ、互いに聞き合い、参加の機会をもてる話合いのルールを共に検討する。</w:t>
      </w:r>
    </w:p>
    <w:p>
      <w:pPr>
        <w:spacing w:after="60"/>
        <w:ind w:left="360"/>
      </w:pPr>
      <w:r>
        <w:t>4. 状況や本人の考えを確認せず、身勝手な性格だけが原因だと断定し、発言機会を取り上げる。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欧州評議会の人権教育手引きCompassのRole-playing節に照らし、ロールプレイを実施するときの配慮に合うものを一つ選べ。</w:t>
      </w:r>
    </w:p>
    <w:p>
      <w:pPr>
        <w:spacing w:after="60"/>
        <w:ind w:left="360"/>
      </w:pPr>
      <w:r>
        <w:t>1. 演じた人物像が実際の人々に当てはまるかを問い直し、活動の終わりには役から離れる時間を確保する。</w:t>
      </w:r>
    </w:p>
    <w:p>
      <w:pPr>
        <w:spacing w:after="60"/>
        <w:ind w:left="360"/>
      </w:pPr>
      <w:r>
        <w:t>2. 参加者本人や家族の事情に触れる内容であっても、本人が望まない経験の開示を演技のために強いる。</w:t>
      </w:r>
    </w:p>
    <w:p>
      <w:pPr>
        <w:spacing w:after="60"/>
        <w:ind w:left="360"/>
      </w:pPr>
      <w:r>
        <w:t>3. 演技で傷ついた人が出ても、その受け止めを取り上げず、進行の都合だけを優先する。</w:t>
      </w:r>
    </w:p>
    <w:p>
      <w:pPr>
        <w:spacing w:after="60"/>
        <w:ind w:left="360"/>
      </w:pPr>
      <w:r>
        <w:t>4. ロールプレイは全ての台詞を正確に暗記して再現する形式であり、即興で演じることを含まないと説明する。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欧州評議会RFCDC第1巻の自民族中心主義の定義と文化差への姿勢の説明に合うものを一つ選べ。</w:t>
      </w:r>
    </w:p>
    <w:p>
      <w:pPr>
        <w:spacing w:after="60"/>
        <w:ind w:left="360"/>
      </w:pPr>
      <w:r>
        <w:t>1. 自民族中心主義は、自分の主要な文化を中心に置き、それを基準として他の文化を評価する見方を含む。</w:t>
      </w:r>
    </w:p>
    <w:p>
      <w:pPr>
        <w:spacing w:after="60"/>
        <w:ind w:left="360"/>
      </w:pPr>
      <w:r>
        <w:t>2. 他者への尊重は、その人の文化的な信念や慣行をすべて自分も採用することを必要とする。</w:t>
      </w:r>
    </w:p>
    <w:p>
      <w:pPr>
        <w:spacing w:after="60"/>
        <w:ind w:left="360"/>
      </w:pPr>
      <w:r>
        <w:t>3. 他の文化に開かれるには、自分の世界観や慣行を当然のものとして問い直さない姿勢が必要である。</w:t>
      </w:r>
    </w:p>
    <w:p>
      <w:pPr>
        <w:spacing w:after="60"/>
        <w:ind w:left="360"/>
      </w:pPr>
      <w:r>
        <w:t>4. 他者の文化を尊重するためには、人間の尊厳や人権を侵害する慣行の内容も無条件で肯定しなければならない。</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spacing w:after="60"/>
        <w:ind w:left="360"/>
      </w:pPr>
      <w:r>
        <w:t>1. 演じた人物像について参加者が振り返る機会を設けず、互いの解釈を検討する話合いを禁止する。</w:t>
      </w:r>
    </w:p>
    <w:p>
      <w:pPr>
        <w:spacing w:after="60"/>
        <w:ind w:left="360"/>
      </w:pPr>
      <w:r>
        <w:t>2. 演じた人物像が特定集団の固定観念になっていないか、情報の根拠は何かを問い直し、過度の一般化を避ける。</w:t>
      </w:r>
    </w:p>
    <w:p>
      <w:pPr>
        <w:spacing w:after="60"/>
        <w:ind w:left="360"/>
      </w:pPr>
      <w:r>
        <w:t>3. 言葉遣いや規範が自分と違う人は人間としての価値が低いと結論づける。</w:t>
      </w:r>
    </w:p>
    <w:p>
      <w:pPr>
        <w:spacing w:after="60"/>
        <w:ind w:left="360"/>
      </w:pPr>
      <w:r>
        <w:t>4. 演じた人物像は同じ集団の全員に当てはまるものとして教え、その一般化を疑う必要はないとする。</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発音指導の資料として学習者の録音をPraatで調べる。公式マニュアルの波形・ピッチ曲線と解析設定の説明に合うものを一つ選べ。</w:t>
      </w:r>
    </w:p>
    <w:p>
      <w:pPr>
        <w:spacing w:after="60"/>
        <w:ind w:left="360"/>
      </w:pPr>
      <w:r>
        <w:t>1. 波形は推定された基本周波数そのものの時間変化なので、波形を表示すればピッチ解析を別に行う必要はない。</w:t>
      </w:r>
    </w:p>
    <w:p>
      <w:pPr>
        <w:spacing w:after="60"/>
        <w:ind w:left="360"/>
      </w:pPr>
      <w:r>
        <w:t>2. 波形とピッチ曲線は別の表示であり、ピッチ解析では話者の声の高さの範囲に合う設定かを確かめる。</w:t>
      </w:r>
    </w:p>
    <w:p>
      <w:pPr>
        <w:spacing w:after="60"/>
        <w:ind w:left="360"/>
      </w:pPr>
      <w:r>
        <w:t>3. ピッチの解析範囲を変更しても計算される曲線は変わらないため、表示範囲だけを変える操作と常に同じである。</w:t>
      </w:r>
    </w:p>
    <w:p>
      <w:pPr>
        <w:spacing w:after="60"/>
        <w:ind w:left="360"/>
      </w:pPr>
      <w:r>
        <w:t>4. 波形やピッチ曲線を表示すると録音の選択区間は再生できなくなるため、音を聞きながら該当区間を確かめることはできない。</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ケース1の教師が検討している、質問と答えを対比して学習者の注意を言語形式へ向ける工夫について、Schmidt（1990）が論じた気づき（noticing）の説明に合うものを一つ選べ。</w:t>
      </w:r>
    </w:p>
    <w:p>
      <w:pPr>
        <w:spacing w:after="60"/>
        <w:ind w:left="360"/>
      </w:pPr>
      <w:r>
        <w:t>1. 学習者本人が形式に気づいたかどうかにかかわらず、教師が提示したインプットは全てインテイクになる。</w:t>
      </w:r>
    </w:p>
    <w:p>
      <w:pPr>
        <w:spacing w:after="60"/>
        <w:ind w:left="360"/>
      </w:pPr>
      <w:r>
        <w:t>2. 抽象的な文法規則を言葉で説明できない学習者は、インプットのどの形式にも気づいていないと判定する。</w:t>
      </w:r>
    </w:p>
    <w:p>
      <w:pPr>
        <w:spacing w:after="60"/>
        <w:ind w:left="360"/>
      </w:pPr>
      <w:r>
        <w:t>3. 意味内容だけでなく形式にも意識を向け、学習者自身がインプットの言語形式に気づく機会を作ろうとする。</w:t>
      </w:r>
    </w:p>
    <w:p>
      <w:pPr>
        <w:spacing w:after="60"/>
        <w:ind w:left="360"/>
      </w:pPr>
      <w:r>
        <w:t>4. 一度気づいた形式は、その後に保持・再使用されるかを確かめなくても、全て習得済みと判定できる。</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ケース1の教師が自分の訂正を点検する際、RFCDC第1巻（2018年）の批判的思考と自己の批判的理解の観点に沿う取り組みを一つ選べ。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3. 授業の発話記録を確かめ、自分の訂正の根拠や、質問・説明の内容を見直す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ケース2の「講義を聞いてノートを取る」ことへの不安に直接対応する学習目標として、BICS/CALPの区別も踏まえて最も適当なものを一つ選べ。</w:t>
      </w:r>
    </w:p>
    <w:p>
      <w:pPr>
        <w:spacing w:after="60"/>
        <w:ind w:left="360"/>
      </w:pPr>
      <w:r>
        <w:t>1. 講義で述べられる概念や要点を理解し、必要な内容を記録する力を育てる。</w:t>
      </w:r>
    </w:p>
    <w:p>
      <w:pPr>
        <w:spacing w:after="60"/>
        <w:ind w:left="360"/>
      </w:pPr>
      <w:r>
        <w:t>2. 発音の正確さだけを高め、講義内容の理解や記録は目標に含めない。</w:t>
      </w:r>
    </w:p>
    <w:p>
      <w:pPr>
        <w:spacing w:after="60"/>
        <w:ind w:left="360"/>
      </w:pPr>
      <w:r>
        <w:t>3. 日常会話の流暢さだけで講義理解も保証されるため、聴解・記録は扱わない。</w:t>
      </w:r>
    </w:p>
    <w:p>
      <w:pPr>
        <w:spacing w:after="60"/>
        <w:ind w:left="360"/>
      </w:pPr>
      <w:r>
        <w:t>4. あいさつ表現の暗記だけを目標とし、講義で用いる言語は扱わない。</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ケース3で、同じ部長の発言を社内の同僚と取引先の社員に伝える際、ウチ・ソトに応じて表現を選ぶことは、CEFR（2001）5.2節の区分では主にどの能力に関わるか。一つ選べ。</w:t>
      </w:r>
    </w:p>
    <w:p>
      <w:pPr>
        <w:spacing w:after="60"/>
        <w:ind w:left="360"/>
      </w:pPr>
      <w:r>
        <w:t>1. 文法能力（動詞の活用形を作る力）のみ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4. 正書法能力（綴りや句読点などを扱う力）のみ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ケース4　多国籍クラスでの文化的な誤解への対応（架空事例）</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教師は、二人が互いの考えを聞き合う時間を設けず、「日本ではくじ引きで決めるのが普通です」と伝え、くじ引きで順番を決めさせて活動を進めた。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ケース4の本文から直接読み取れる、発表順をめぐる対立の背景として最も適当なものを一つ選べ。</w:t>
      </w:r>
    </w:p>
    <w:p>
      <w:pPr>
        <w:spacing w:after="60"/>
        <w:ind w:left="360"/>
      </w:pPr>
      <w:r>
        <w:t xml:space="preserve">1. 文法的な誤用による意味の取り違え</w:t>
      </w:r>
    </w:p>
    <w:p>
      <w:pPr>
        <w:spacing w:after="60"/>
        <w:ind w:left="360"/>
      </w:pPr>
      <w:r>
        <w:t>2. 年上を優先するか、くじ引きなどで決めるかという、本人たちが述べた前提の違い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ケース4の教師の対応について、RFCDC第1巻（2018年）が重視する対立当事者の視点の理解と合意形成の観点から、問題点として適当なものを一つ選べ。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2. 日本全体で一般的だとする説明だけで決め、双方が互いの考えを聞き合って決める機会を設けていない</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ケース4で双方が受け入れられる解決を探るために、RFCDC第1巻（2018年）の対立解決の説明に沿う対応を一つ選べ。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ケース4を踏まえ、今後のグループ活動で学習者が意見を出し合い合意を作る機会を設ける工夫として、RFCDC第1巻（2018年）の協働の説明に沿うものを一つ選べ。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ケース4の教師が自分の対応を見直す際、RFCDC第1巻（2018年）の自己の批判的理解の説明に沿う取り組みを一つ選べ。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3. 自分の前提や思い込みが説明や判断にどう関わったかを点検し、対応の良かった点と改善点を振り返る</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ケース9をCumminsのBICS/CALPの区別に照らして捉える説明として、最も適当なものを一つ選べ。</w:t>
      </w:r>
    </w:p>
    <w:p>
      <w:pPr>
        <w:spacing w:after="60"/>
        <w:ind w:left="360"/>
      </w:pPr>
      <w:r>
        <w:t>1. 日常会話ができるので、教科学習で必要な言語使用も十分だと判断できる。</w:t>
      </w:r>
    </w:p>
    <w:p>
      <w:pPr>
        <w:spacing w:after="60"/>
        <w:ind w:left="360"/>
      </w:pPr>
      <w:r>
        <w:t>2. 会話の流暢さと教科学習の言語使用を区別し、文章題でどの表現や内容に困るかを確かめる。</w:t>
      </w:r>
    </w:p>
    <w:p>
      <w:pPr>
        <w:spacing w:after="60"/>
        <w:ind w:left="360"/>
      </w:pPr>
      <w:r>
        <w:t>3. 文章題の理解に時間がかかるという事実だけで、児童の認知能力の不足を診断できる。</w:t>
      </w:r>
    </w:p>
    <w:p>
      <w:pPr>
        <w:spacing w:after="60"/>
        <w:ind w:left="360"/>
      </w:pPr>
      <w:r>
        <w:t>4. CALPは書き言葉だけの能力なので、教師の口頭説明の理解とは関係しない。</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ケース11のB教師の活動に、使う表現を固定せず、依頼内容を伝えて相手が引き受けられるかを確かめる目標を加える。Richards（2006）のタスクの説明に照らし、この活動と事後の言語整理の流れに合うものを一つ選べ。</w:t>
      </w:r>
    </w:p>
    <w:p>
      <w:pPr>
        <w:spacing w:after="60"/>
        <w:ind w:left="360"/>
      </w:pPr>
      <w:r>
        <w:t>1. 依頼の意味が伝わったかは問わず、指定された文を一字一句正確に再生することだけを達成目標とする。</w:t>
      </w:r>
    </w:p>
    <w:p>
      <w:pPr>
        <w:spacing w:after="60"/>
        <w:ind w:left="360"/>
      </w:pPr>
      <w:r>
        <w:t>2. 言語形式を一切扱ってはならないので、活動後に表現を確認する段階は必ず除く。</w:t>
      </w:r>
    </w:p>
    <w:p>
      <w:pPr>
        <w:spacing w:after="60"/>
        <w:ind w:left="360"/>
      </w:pPr>
      <w:r>
        <w:t>3. 新しい文型の提示と統制された練習を先に行うPPPの順序を、そのまま実施したと判断する。</w:t>
      </w:r>
    </w:p>
    <w:p>
      <w:pPr>
        <w:spacing w:after="60"/>
        <w:ind w:left="360"/>
      </w:pPr>
      <w:r>
        <w:t>4. 既有の言語資源で意味のある依頼を行い、その経験を基に必要な言語表現を振り返る構成と捉える。</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ケース11の活動を選ぶ際、Richards（2006）の正確さと流暢さを扱う活動の説明に合う方針を一つ選べ。</w:t>
      </w:r>
    </w:p>
    <w:p>
      <w:pPr>
        <w:spacing w:after="60"/>
        <w:ind w:left="360"/>
      </w:pPr>
      <w:r>
        <w:t>1. 意味を伝える活動を入れるなら、学習者の言語使用に問題が見られても、その後の形式面の練習をすべて除く。</w:t>
      </w:r>
    </w:p>
    <w:p>
      <w:pPr>
        <w:spacing w:after="60"/>
        <w:ind w:left="360"/>
      </w:pPr>
      <w:r>
        <w:t>2. どの活動も同じ働きをするので、何をできるようにするかを考えず、教師の好みだけで選ぶ。</w:t>
      </w:r>
    </w:p>
    <w:p>
      <w:pPr>
        <w:spacing w:after="60"/>
        <w:ind w:left="360"/>
      </w:pPr>
      <w:r>
        <w:t>3. 正確さと流暢さの目標を区別し、活動で見られた課題に応じて形式面の練習や意味を伝える活動を関連付ける。</w:t>
      </w:r>
    </w:p>
    <w:p>
      <w:pPr>
        <w:spacing w:after="60"/>
        <w:ind w:left="360"/>
      </w:pPr>
      <w:r>
        <w:t>4. 正確さを扱う活動は必ず流暢さの活動より前に置き、後から扱うことは認めない。</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ケース13　多文化クラスにおけるコンフリクト・マネジメントの実践（架空事例）</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教師は、対立を一方的に裁定するのではなく、双方の主張の背景にある価値観を確認し合う時間を設け、双方が譲歩できる点と譲れない点を整理させた上で、次回までに解決策を持ち寄るよう促した。教師は、この活動の目標を、異なる重視点を聞き合い、双方が受け入れられる解決を対話で探る力を育てることだと説明した。</w:t>
      </w:r>
    </w:p>
    <w:p>
      <w:pPr>
        <w:pStyle w:val="Heading3"/>
        <w:spacing w:after="120" w:before="240"/>
      </w:pPr>
      <w:bookmarkStart w:name="Q_O_061" w:id="467"/>
      <w:r>
        <w:rPr>
          <w:b/>
          <w:bCs/>
        </w:rPr>
        <w:t xml:space="preserve">問1</w:t>
      </w:r>
      <w:bookmarkEnd w:id="467"/>
    </w:p>
    <w:p>
      <w:pPr>
        <w:spacing w:after="120"/>
      </w:pPr>
      <w:r>
        <w:t>ThomasとKilmannのTKIについて、共同開発者Kilmannの公開解説が示す五つの様式のうち、自分の関心を抑え、相手の関心を満たそうとするものを一つ選べ。</w:t>
      </w:r>
    </w:p>
    <w:p>
      <w:pPr>
        <w:spacing w:after="60"/>
        <w:ind w:left="360"/>
      </w:pPr>
      <w:r>
        <w:t>1. 協働（collaborating）</w:t>
      </w:r>
    </w:p>
    <w:p>
      <w:pPr>
        <w:spacing w:after="60"/>
        <w:ind w:left="360"/>
      </w:pPr>
      <w:r>
        <w:t>2. 受容（accommodating）</w:t>
      </w:r>
    </w:p>
    <w:p>
      <w:pPr>
        <w:spacing w:after="60"/>
        <w:ind w:left="360"/>
      </w:pPr>
      <w:r>
        <w:t>3. 回避（avoiding）</w:t>
      </w:r>
    </w:p>
    <w:p>
      <w:pPr>
        <w:spacing w:after="60"/>
        <w:ind w:left="360"/>
      </w:pPr>
      <w:r>
        <w:t>4. 競争（competing）</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ケース13の次の話合いで、双方が一部を譲り、それぞれの希望が部分的にかなう中間案で合意したとする。この解決の仕方に当たるTKIの様式を、Kilmannの公開解説に基づいて一つ選べ。</w:t>
      </w:r>
    </w:p>
    <w:p>
      <w:pPr>
        <w:spacing w:after="60"/>
        <w:ind w:left="360"/>
      </w:pPr>
      <w:r>
        <w:t>1. 妥協（compromising）</w:t>
      </w:r>
    </w:p>
    <w:p>
      <w:pPr>
        <w:spacing w:after="60"/>
        <w:ind w:left="360"/>
      </w:pPr>
      <w:r>
        <w:t>2. 協働（collaborating）</w:t>
      </w:r>
    </w:p>
    <w:p>
      <w:pPr>
        <w:spacing w:after="60"/>
        <w:ind w:left="360"/>
      </w:pPr>
      <w:r>
        <w:t>3. 競争（competing）</w:t>
      </w:r>
    </w:p>
    <w:p>
      <w:pPr>
        <w:spacing w:after="60"/>
        <w:ind w:left="360"/>
      </w:pPr>
      <w:r>
        <w:t>4. 回避（avoiding）</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ケース13の本文から直接読み取れる、進め方をめぐる対立の背景を一つ選べ。</w:t>
      </w:r>
    </w:p>
    <w:p>
      <w:pPr>
        <w:spacing w:after="60"/>
        <w:ind w:left="360"/>
      </w:pPr>
      <w:r>
        <w:t xml:space="preserve">1. 文法能力の違いのみによるもの</w:t>
      </w:r>
    </w:p>
    <w:p>
      <w:pPr>
        <w:spacing w:after="60"/>
        <w:ind w:left="360"/>
      </w:pPr>
      <w:r>
        <w:t>2. 早い決定を優先するか、全員の納得まで話し合うかという、本人たちが述べた重視点の違い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ケース13で、学習者が意思決定の方法について意見を出し合い、合意を作る機会を設ける工夫として、RFCDC第1巻（2018年）の協働の説明に沿うものを一つ選べ。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ケース13で教師が明示した学習目標に対応する力として、RFCDC第1巻（2018年）の対立解決の説明に沿うものを一つ選べ。</w:t>
      </w:r>
    </w:p>
    <w:p>
      <w:pPr>
        <w:spacing w:after="60"/>
        <w:ind w:left="360"/>
      </w:pPr>
      <w:r>
        <w:t xml:space="preserve">1. 発音を正確に行う力だけを高めること</w:t>
      </w:r>
    </w:p>
    <w:p>
      <w:pPr>
        <w:spacing w:after="60"/>
        <w:ind w:left="360"/>
      </w:pPr>
      <w:r>
        <w:t>2. 異なる視点を聞いて理解し、双方が受け入れられる解決を対話で探る力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ケース14の授業をCLIL（内容言語統合型学習）として設計する際の目標設定として、最も適切なものを一つ選べ。</w:t>
      </w:r>
    </w:p>
    <w:p>
      <w:pPr>
        <w:spacing w:after="60"/>
        <w:ind w:left="360"/>
      </w:pPr>
      <w:r>
        <w:t>1. 環境問題に関する内容の理解と、その内容を日本語で理解・表現するための言語の学習を結び付ける。</w:t>
      </w:r>
    </w:p>
    <w:p>
      <w:pPr>
        <w:spacing w:after="60"/>
        <w:ind w:left="360"/>
      </w:pPr>
      <w:r>
        <w:t>2. 環境問題は日本語を話すための話題にすぎないので、内容の理解を学習目標から除く。</w:t>
      </w:r>
    </w:p>
    <w:p>
      <w:pPr>
        <w:spacing w:after="60"/>
        <w:ind w:left="360"/>
      </w:pPr>
      <w:r>
        <w:t>3. 環境問題の知識だけを目標とし、資料読解や意見交換で必要な日本語は学習対象に含めない。</w:t>
      </w:r>
    </w:p>
    <w:p>
      <w:pPr>
        <w:spacing w:after="60"/>
        <w:ind w:left="360"/>
      </w:pPr>
      <w:r>
        <w:t>4. 内容と言語の二つの目標は両立しないので、どちらか一方の学習だけをCLILの原則とする。</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国際交流基金の公式「世界の拠点紹介」の説明に合う、海外拠点を含む活動のあり方として最も適当なものを選べ。</w:t>
      </w:r>
    </w:p>
    <w:p>
      <w:pPr>
        <w:spacing w:after="60"/>
        <w:ind w:left="360"/>
      </w:pPr>
      <w:r>
        <w:t>1. 日本国内だけで事業を行い、海外の機関とは連携しない。</w:t>
      </w:r>
    </w:p>
    <w:p>
      <w:pPr>
        <w:spacing w:after="60"/>
        <w:ind w:left="360"/>
      </w:pPr>
      <w:r>
        <w:t>2. 海外事務所だけで完結し、国内の附属機関や支部は活動の足がかりにしない。</w:t>
      </w:r>
    </w:p>
    <w:p>
      <w:pPr>
        <w:spacing w:after="60"/>
        <w:ind w:left="360"/>
      </w:pPr>
      <w:r>
        <w:t>3. 海外事務所や国内の附属機関・支部を足がかりに、在外公館、日本語教育機関、文化交流機関等と連携して活動する。</w:t>
      </w:r>
    </w:p>
    <w:p>
      <w:pPr>
        <w:spacing w:after="60"/>
        <w:ind w:left="360"/>
      </w:pPr>
      <w:r>
        <w:t>4. 在外公館とは連携するが、日本語教育機関と文化交流機関は連携の対象から除く。</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国際交流基金の2021年度「海外日本語教育機関調査」の地域別学習者数について、最も適切なものを一つ選べ。回答機関で学ぶ学習者の集計を対象とする。</w:t>
      </w:r>
    </w:p>
    <w:p>
      <w:pPr>
        <w:spacing w:after="60"/>
        <w:ind w:left="360"/>
      </w:pPr>
      <w:r>
        <w:t>1. 東アジアと東南アジアを合わせると、集計された学習者の4分の3を超える。</w:t>
      </w:r>
    </w:p>
    <w:p>
      <w:pPr>
        <w:spacing w:after="60"/>
        <w:ind w:left="360"/>
      </w:pPr>
      <w:r>
        <w:t>2. どの地域の学習者数も同じで、地域間の人数差はない。</w:t>
      </w:r>
    </w:p>
    <w:p>
      <w:pPr>
        <w:spacing w:after="60"/>
        <w:ind w:left="360"/>
      </w:pPr>
      <w:r>
        <w:t>3. 報告書の北アフリカとアフリカの両区分は、学習者数がともにゼロである。</w:t>
      </w:r>
    </w:p>
    <w:p>
      <w:pPr>
        <w:spacing w:after="60"/>
        <w:ind w:left="360"/>
      </w:pPr>
      <w:r>
        <w:t>4. 学習者が記録されている地域は西欧と東欧だけである。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欧州評議会のRFCDC第1巻（2018年）のモデルにおけるエンパシー（共感）の説明として、適当なものを一つ選べ。</w:t>
      </w:r>
    </w:p>
    <w:p>
      <w:pPr>
        <w:spacing w:after="60"/>
        <w:ind w:left="360"/>
      </w:pPr>
      <w:r>
        <w:t>1. 相手と同じ感情が自分に生じる現象だけを指し、相手の考えや信念を理解する技能は含めない。</w:t>
      </w:r>
    </w:p>
    <w:p>
      <w:pPr>
        <w:spacing w:after="60"/>
        <w:ind w:left="360"/>
      </w:pPr>
      <w:r>
        <w:t>2. 自分の見方からいったん距離を取り、相手の考え・信念・感情を相手の視点から理解し関わるための技能を指す。</w:t>
      </w:r>
    </w:p>
    <w:p>
      <w:pPr>
        <w:spacing w:after="60"/>
        <w:ind w:left="360"/>
      </w:pPr>
      <w:r>
        <w:t>3. 相手の知覚・考え・信念の理解は含むが、相手の感情や必要の理解は共感の範囲から除外する。</w:t>
      </w:r>
    </w:p>
    <w:p>
      <w:pPr>
        <w:spacing w:after="60"/>
        <w:ind w:left="360"/>
      </w:pPr>
      <w:r>
        <w:t>4. 相手への思いやりや気遣いは、このモデルでは共感のどの形態にも位置付けられていない。</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この教師の同僚との相談を、RFCDC第1巻の批判的な自己理解の観点から進める場合、最も適当な行為を一つ選べ。</w:t>
      </w:r>
    </w:p>
    <w:p>
      <w:pPr>
        <w:spacing w:after="60"/>
        <w:ind w:left="360"/>
      </w:pPr>
      <w:r>
        <w:t>1. 学習者が理解できるはずだという自分の前提は検討せず、相談を終える。</w:t>
      </w:r>
    </w:p>
    <w:p>
      <w:pPr>
        <w:spacing w:after="60"/>
        <w:ind w:left="360"/>
      </w:pPr>
      <w:r>
        <w:t>2. 同僚から一つの助言を得た時点で、教材や活動を見直す必要はなくなったと決める。</w:t>
      </w:r>
    </w:p>
    <w:p>
      <w:pPr>
        <w:spacing w:after="60"/>
        <w:ind w:left="360"/>
      </w:pPr>
      <w:r>
        <w:t>3. 学習者の反応と自分の見立てを照らし、前提や判断の限界を同僚と点検して、教材・活動の見直しを検討する。</w:t>
      </w:r>
    </w:p>
    <w:p>
      <w:pPr>
        <w:spacing w:after="60"/>
        <w:ind w:left="360"/>
      </w:pPr>
      <w:r>
        <w:t>4. 原因について考え直す必要はないとして、教材と活動を今後一切変更しないと決める。</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用語集73頁は、自文化を中心に据えて他文化をその尺度で評価する見方と、自集団のやり方が優れているとする偏見を説明しています。無意識であることを定義の必須条件にはしていません。</w:t>
      </w:r>
    </w:p>
    <w:p>
      <w:pPr>
        <w:spacing w:after="100"/>
      </w:pPr>
      <w:r>
        <w:rPr>
          <w:b/>
          <w:bCs/>
          <w:color w:val="B00020"/>
        </w:rPr>
        <w:t xml:space="preserve">2（誤）</w:t>
      </w:r>
      <w:r>
        <w:t xml:space="preserve">　この肢は自文化を捨てて相手の文化へ吸収される過程を述べています。73頁の自文化中心主義の定義は、自文化を尺度に他文化を評価する見方であり、この過程を指すものではありません。</w:t>
      </w:r>
    </w:p>
    <w:p>
      <w:pPr>
        <w:spacing w:after="100"/>
      </w:pPr>
      <w:r>
        <w:rPr>
          <w:b/>
          <w:bCs/>
          <w:color w:val="B00020"/>
        </w:rPr>
        <w:t xml:space="preserve">3（誤）</w:t>
      </w:r>
      <w:r>
        <w:t xml:space="preserve">　この肢は他国の文化を本質的に優れているとみなす方向の評価です。73頁が説明する、自集団のやり方を他集団より優れているとみなす偏見とは評価の方向が逆です。</w:t>
      </w:r>
    </w:p>
    <w:p>
      <w:pPr>
        <w:spacing w:after="100"/>
      </w:pPr>
      <w:r>
        <w:rPr>
          <w:b/>
          <w:bCs/>
          <w:color w:val="B00020"/>
        </w:rPr>
        <w:t xml:space="preserve">4（誤）</w:t>
      </w:r>
      <w:r>
        <w:t xml:space="preserve">　この肢は相手の文化の基準や文脈に沿って理解しようとする姿勢です。73頁の自文化中心主義が説明する、自文化を中心的な尺度として他文化を評価する見方とは異なります。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41頁は自分の見方の当然さを問い直し、判断をいったん保留する姿勢を示します。背景を確かめず、文化全体の優劣を逆転させた結論を教え込む対応は、この姿勢に合いません。</w:t>
      </w:r>
    </w:p>
    <w:p>
      <w:pPr>
        <w:spacing w:after="100"/>
      </w:pPr>
      <w:r>
        <w:rPr>
          <w:b/>
          <w:bCs/>
          <w:color w:val="B00020"/>
        </w:rPr>
        <w:t xml:space="preserve">2（誤）</w:t>
      </w:r>
      <w:r>
        <w:t xml:space="preserve">　42頁は、他者を尊重することと、その人の考えへの同意・採用・転向を区別します。日本のやり方の無条件の正しさや、以前の習慣の全面放棄を教師が求める対応は、この区別に合いません。</w:t>
      </w:r>
    </w:p>
    <w:p>
      <w:pPr>
        <w:spacing w:after="100"/>
      </w:pPr>
      <w:r>
        <w:rPr>
          <w:b/>
          <w:bCs/>
          <w:color w:val="B00020"/>
        </w:rPr>
        <w:t xml:space="preserve">3（誤）</w:t>
      </w:r>
      <w:r>
        <w:t xml:space="preserve">　本文だけでは心理状態や適応の段階は確定できません。41–43頁の開放性と尊重に照らし、事情を聞かず全面禁止する対応は支持されません。相談支援の必要性を本人の状況に応じて検討することまで否定する説明ではありません。</w:t>
      </w:r>
    </w:p>
    <w:p>
      <w:pPr>
        <w:spacing w:after="100"/>
      </w:pPr>
      <w:r>
        <w:rPr>
          <w:b/>
          <w:bCs/>
          <w:color w:val="2E7D32"/>
        </w:rPr>
        <w:t xml:space="preserve">4（正）</w:t>
      </w:r>
      <w:r>
        <w:t xml:space="preserve">　41頁は他者の見方への関心と判断の保留、42頁は本人の帰属や信念を選ぶ権利への尊重を示します。背景を尋ねて具体的に検討する対応は、この説明に沿います。全ての慣習を無条件に肯定する意味ではなく、42頁は他者の尊厳・人権・自由を侵す内容への尊重に限界を設けていま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29頁は文化集団への所属を基に作るアイデンティティを説明し、30頁は複数の文化集団への同時の帰属と、状況や時間に応じて帰属の重要さが変わることを示します。この枠組みの説明に合う肢です。特定の変容が起こる頻度を測定した説明ではありません。</w:t>
      </w:r>
    </w:p>
    <w:p>
      <w:pPr>
        <w:spacing w:after="100"/>
      </w:pPr>
      <w:r>
        <w:rPr>
          <w:b/>
          <w:bCs/>
          <w:color w:val="B00020"/>
        </w:rPr>
        <w:t xml:space="preserve">2（誤）</w:t>
      </w:r>
      <w:r>
        <w:t xml:space="preserve">　30頁は、国家や民族だけでなく、宗教集団、都市、近隣地域、職業集団、家族などにも文化があると説明します。宗教や地域などを全て除外し、国家・民族への帰属だけに限定する点が誤りです。</w:t>
      </w:r>
    </w:p>
    <w:p>
      <w:pPr>
        <w:spacing w:after="100"/>
      </w:pPr>
      <w:r>
        <w:rPr>
          <w:b/>
          <w:bCs/>
          <w:color w:val="B00020"/>
        </w:rPr>
        <w:t xml:space="preserve">3（誤）</w:t>
      </w:r>
      <w:r>
        <w:t xml:space="preserve">　30頁は、文化への帰属とアイデンティティの重要さが状況や時間に伴って変化し、文化集団自体も変わると説明します。幼少期に不可逆的に固定され、その後は変化しないという肢は、この説明に合いません。</w:t>
      </w:r>
    </w:p>
    <w:p>
      <w:pPr>
        <w:spacing w:after="100"/>
      </w:pPr>
      <w:r>
        <w:rPr>
          <w:b/>
          <w:bCs/>
          <w:color w:val="B00020"/>
        </w:rPr>
        <w:t xml:space="preserve">4（誤）</w:t>
      </w:r>
      <w:r>
        <w:t xml:space="preserve">　30頁は、個人が複数の集団とその文化に同時に帰属し、それらの帰属が交差すると説明します。新たな帰属を持つには以前の帰属を全て失う必要があるという条件は、この枠組みの複数帰属と両立しません。第二言語学習後の同化の頻度や過程を実証した説明ではありません。</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JASSOの2026年度実施要項にある目的と一致します。日本語のほか理科・総合科目・数学が設けられ、受験科目は志望大学等の指定に基づいて選びます。全受験者が全科目を受けるという意味ではありません。</w:t>
      </w:r>
    </w:p>
    <w:p>
      <w:pPr>
        <w:spacing w:after="100"/>
      </w:pPr>
      <w:r>
        <w:rPr>
          <w:b/>
          <w:bCs/>
          <w:color w:val="B00020"/>
        </w:rPr>
        <w:t xml:space="preserve">2（誤）</w:t>
      </w:r>
      <w:r>
        <w:t xml:space="preserve">　BJT公式のレベル説明は、合格・不合格ではなく、0～800点のスコアと、その点数に応じたJ5～J1+の6段階で評価するとしています。この結果だけで就労可否が一元的に決まるという旧肢の想定も採用しません。</w:t>
      </w:r>
    </w:p>
    <w:p>
      <w:pPr>
        <w:spacing w:after="100"/>
      </w:pPr>
      <w:r>
        <w:rPr>
          <w:b/>
          <w:bCs/>
          <w:color w:val="B00020"/>
        </w:rPr>
        <w:t xml:space="preserve">3（誤）</w:t>
      </w:r>
      <w:r>
        <w:t xml:space="preserve">　JLPT公式FAQは、会話や作文の試験は現在どちらもなく、解答は多枝選択のマークシート方式と説明します。必須の口頭試験があるとする肢とは一致しません。</w:t>
      </w:r>
    </w:p>
    <w:p>
      <w:pPr>
        <w:spacing w:after="100"/>
      </w:pPr>
      <w:r>
        <w:rPr>
          <w:b/>
          <w:bCs/>
          <w:color w:val="B00020"/>
        </w:rPr>
        <w:t xml:space="preserve">4（誤）</w:t>
      </w:r>
      <w:r>
        <w:t xml:space="preserve">　ACTFL公式のOPI説明は、面接者が会話を進め、レベルチェックとプローブで発話の証拠を引き出すと説明します。自発的で事前練習していない言語使用を扱う口頭面接であり、紙の選択式回答だけで話す力を評価する形式ではありません。</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公式紹介は、1972年の設立時は外務省所管の特殊法人だったと説明します。設立当初から独立行政法人だったという記述は、時点と組織形態を取り違えています。</w:t>
      </w:r>
    </w:p>
    <w:p>
      <w:pPr>
        <w:spacing w:after="100"/>
      </w:pPr>
      <w:r>
        <w:rPr>
          <w:b/>
          <w:bCs/>
          <w:color w:val="B00020"/>
        </w:rPr>
        <w:t xml:space="preserve">2（誤）</w:t>
      </w:r>
      <w:r>
        <w:t xml:space="preserve">　公式紹介に記された設立年は1972年です。1983年を初めての設立年とする記述は一致しません。</w:t>
      </w:r>
    </w:p>
    <w:p>
      <w:pPr>
        <w:spacing w:after="100"/>
      </w:pPr>
      <w:r>
        <w:rPr>
          <w:b/>
          <w:bCs/>
          <w:color w:val="2E7D32"/>
        </w:rPr>
        <w:t xml:space="preserve">3（正）</w:t>
      </w:r>
      <w:r>
        <w:t xml:space="preserve">　公式紹介にある設立年、設立時の所管と組織形態、独立行政法人となった日付がすべて一致します。戦後の日本語普及政策全体の経緯を、この沿革の記述だけで説明するものではありません。</w:t>
      </w:r>
    </w:p>
    <w:p>
      <w:pPr>
        <w:spacing w:after="100"/>
      </w:pPr>
      <w:r>
        <w:rPr>
          <w:b/>
          <w:bCs/>
          <w:color w:val="B00020"/>
        </w:rPr>
        <w:t xml:space="preserve">4（誤）</w:t>
      </w:r>
      <w:r>
        <w:t xml:space="preserve">　公式紹介が示す変更の方向は、特殊法人から独立行政法人へ、です。肢は変更の方向を逆にしています。</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公式FAQは、原則として日本語を母語としない人の日本語能力を測定・認定する試験と説明します。大学院の論文執筆能力だけに目的を限定していません。EJUを研究能力全般の試験とする旧解説の比較も撤回します。</w:t>
      </w:r>
    </w:p>
    <w:p>
      <w:pPr>
        <w:spacing w:after="100"/>
      </w:pPr>
      <w:r>
        <w:rPr>
          <w:b/>
          <w:bCs/>
          <w:color w:val="B00020"/>
        </w:rPr>
        <w:t xml:space="preserve">2（誤）</w:t>
      </w:r>
      <w:r>
        <w:t xml:space="preserve">　公式FAQは、会話と作文の試験はいずれも現在は実施していないと説明します。解答方式は多枝選択によるマークシート方式です。能力の間接的な推定と、発話・作文を直接行わせる試験の実施は区別します。</w:t>
      </w:r>
    </w:p>
    <w:p>
      <w:pPr>
        <w:spacing w:after="100"/>
      </w:pPr>
      <w:r>
        <w:rPr>
          <w:b/>
          <w:bCs/>
          <w:color w:val="B00020"/>
        </w:rPr>
        <w:t xml:space="preserve">3（誤）</w:t>
      </w:r>
      <w:r>
        <w:t xml:space="preserve">　公式FAQによれば、認定自体に有効期限はなく、旧試験の認定も無効にはなりません。ただし、結果を利用する会社や学校が独自に期限を決める場合があり、提出先への確認が必要です。</w:t>
      </w:r>
    </w:p>
    <w:p>
      <w:pPr>
        <w:spacing w:after="100"/>
      </w:pPr>
      <w:r>
        <w:rPr>
          <w:b/>
          <w:bCs/>
          <w:color w:val="2E7D32"/>
        </w:rPr>
        <w:t xml:space="preserve">4（正）</w:t>
      </w:r>
      <w:r>
        <w:t xml:space="preserve">　公式FAQは、項目応答理論に基づく尺度得点方式を明記し、問題ごとの配点を合計する方式と区別しています。合否には総合得点の合格点と各得点区分の基準点の双方が関わります。旧稿の難易度差によって得点が変動しないという絶対的な表現は用いず、公式の得点方式の説明に限定し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日本語シラバスは、課題の指示に従って考えを根拠とともに筋道立てて書く能力を挙げます。主張・結論、根拠や実例、構成、表現などを扱うもので、定型文の書き写しだけには限定されません。</w:t>
      </w:r>
    </w:p>
    <w:p>
      <w:pPr>
        <w:spacing w:after="100"/>
      </w:pPr>
      <w:r>
        <w:rPr>
          <w:b/>
          <w:bCs/>
          <w:color w:val="2E7D32"/>
        </w:rPr>
        <w:t xml:space="preserve">2（正）</w:t>
      </w:r>
      <w:r>
        <w:t xml:space="preserve">　2026年度実施要項は、日本の大学等での勉学に対応する日本語力を目的とし、3領域の構成を示します。得点範囲は読解・聴解・聴読解が0～400点、記述が0～50点です。旧解説のアカデミック・ジャパンは、公式表記のアカデミック・ジャパニーズに訂正します。</w:t>
      </w:r>
    </w:p>
    <w:p>
      <w:pPr>
        <w:spacing w:after="100"/>
      </w:pPr>
      <w:r>
        <w:rPr>
          <w:b/>
          <w:bCs/>
          <w:color w:val="B00020"/>
        </w:rPr>
        <w:t xml:space="preserve">3（誤）</w:t>
      </w:r>
      <w:r>
        <w:t xml:space="preserve">　JASSOは、回次や実施地による問題の難易度差に対して、項目反応理論に基づく得点等化を行い、共通の尺度上で結果を比較できるようにすると説明します。読解・聴解・聴読解を、素点だけで表示するという説明は合いません。</w:t>
      </w:r>
    </w:p>
    <w:p>
      <w:pPr>
        <w:spacing w:after="100"/>
      </w:pPr>
      <w:r>
        <w:rPr>
          <w:b/>
          <w:bCs/>
          <w:color w:val="B00020"/>
        </w:rPr>
        <w:t xml:space="preserve">4（誤）</w:t>
      </w:r>
      <w:r>
        <w:t xml:space="preserve">　JASSOは、記述では尺度得点ではなく採点基準に基づく採点を行うと明記しています。読解等の尺度得点方式を記述にも一律に当てはめることはできません。旧稿のJLPTとの自動換算に関する肢は、取得本文で直接判定できる採点方式の比較へ置き換えました。</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報告書22頁は、在籍する学習者の目的・理由として機関が挙げた項目を集計しています。アニメ・マンガ・J-POP・ファッション等への興味は59.9％で、除外されていません。この割合を、学習者本人の59.9％が回答した値とは読み替えません。</w:t>
      </w:r>
    </w:p>
    <w:p>
      <w:pPr>
        <w:spacing w:after="100"/>
      </w:pPr>
      <w:r>
        <w:rPr>
          <w:b/>
          <w:bCs/>
          <w:color w:val="2E7D32"/>
        </w:rPr>
        <w:t xml:space="preserve">2（正）</w:t>
      </w:r>
      <w:r>
        <w:t xml:space="preserve">　報告書12～13頁の順位は、中国1,057,318人、インドネシア711,732人、韓国470,334人です。10～11頁の東アジア1,713,833人と東南アジア1,185,375人は、全体3,794,714人の76.4％を占めます。2021年度の調査結果として扱います。</w:t>
      </w:r>
    </w:p>
    <w:p>
      <w:pPr>
        <w:spacing w:after="100"/>
      </w:pPr>
      <w:r>
        <w:rPr>
          <w:b/>
          <w:bCs/>
          <w:color w:val="B00020"/>
        </w:rPr>
        <w:t xml:space="preserve">3（誤）</w:t>
      </w:r>
      <w:r>
        <w:t xml:space="preserve">　報告書18頁では、中等教育が1,882,054人、49.6％で最も多く、初等教育は331,534人、8.7％です。初等教育が最多で7割以上という説明は、この原表と一致しません。</w:t>
      </w:r>
    </w:p>
    <w:p>
      <w:pPr>
        <w:spacing w:after="100"/>
      </w:pPr>
      <w:r>
        <w:rPr>
          <w:b/>
          <w:bCs/>
          <w:color w:val="B00020"/>
        </w:rPr>
        <w:t xml:space="preserve">4（誤）</w:t>
      </w:r>
      <w:r>
        <w:t xml:space="preserve">　報告書11頁の学習者数の割合は、西欧2.4％、東欧1.2％であり、合わせても過半数にはなりません。これらは2021年度の回答機関の集計で、現在の世界全体の全学習者数と同一視しません。</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本文24頁では、閾値は絶対的な値としては定義できず、第二言語を使う時間や、その言語で表現する認知的操作によって変わり得るとしています。全員に同じ固定値とする説明ではありません。</w:t>
      </w:r>
    </w:p>
    <w:p>
      <w:pPr>
        <w:spacing w:after="100"/>
      </w:pPr>
      <w:r>
        <w:rPr>
          <w:b/>
          <w:bCs/>
          <w:color w:val="2E7D32"/>
        </w:rPr>
        <w:t xml:space="preserve">2（正）</w:t>
      </w:r>
      <w:r>
        <w:t xml:space="preserve">　本文23頁は言語能力の水準を媒介変数として位置付け、より基礎的な社会的・教育的要因などとも区別します。27頁では仮説の単純化と今後の研究の必要性も認めています。これは1976年の仮説の内容を問うもので、個人の言語面の困難だけから思考能力全体の不足を診断する基準ではありません。</w:t>
      </w:r>
    </w:p>
    <w:p>
      <w:pPr>
        <w:spacing w:after="100"/>
      </w:pPr>
      <w:r>
        <w:rPr>
          <w:b/>
          <w:bCs/>
          <w:color w:val="B00020"/>
        </w:rPr>
        <w:t xml:space="preserve">3（誤）</w:t>
      </w:r>
      <w:r>
        <w:t xml:space="preserve">　本文20頁がLambertの区別として紹介する説明では、新しい言語を加える加算的な状況と、第一言語が第二言語に置き換えられる減算的な状況を区別します。この肢は減算的な状況を加算的と呼んでいます。</w:t>
      </w:r>
    </w:p>
    <w:p>
      <w:pPr>
        <w:spacing w:after="100"/>
      </w:pPr>
      <w:r>
        <w:rPr>
          <w:b/>
          <w:bCs/>
          <w:color w:val="B00020"/>
        </w:rPr>
        <w:t xml:space="preserve">4（誤）</w:t>
      </w:r>
      <w:r>
        <w:t xml:space="preserve">　本文20頁では、第一言語を置き換えずに新しい言語をレパートリーへ加える方を加算的と説明します。減算的な状況では第一言語の減退と第二言語への置き換わりを扱うため、この肢は名称を逆にしてい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教材の2.2節では、トピック・センテンスで示す事項の範囲に沿って段落を構成し、範囲から外れる内容は別の段落にするか削除するよう説明しています。無関係な話題を無秩序に混ぜる指導とは異なります。</w:t>
      </w:r>
    </w:p>
    <w:p>
      <w:pPr>
        <w:spacing w:after="100"/>
      </w:pPr>
      <w:r>
        <w:rPr>
          <w:b/>
          <w:bCs/>
          <w:color w:val="2E7D32"/>
        </w:rPr>
        <w:t xml:space="preserve">2（正）</w:t>
      </w:r>
      <w:r>
        <w:t xml:space="preserve">　2.2節では、その段落で何を述べるかをなるべく早く示す文をトピック・センテンスと呼び、その範囲で内容をまとめるよう説明しています。6.1節では、各トピック・センテンスが全体として論理の流れを作るかも点検します。位置だけを整えるのではなく、示す事項と本文の対応も確かめる指導です。</w:t>
      </w:r>
    </w:p>
    <w:p>
      <w:pPr>
        <w:spacing w:after="100"/>
      </w:pPr>
      <w:r>
        <w:rPr>
          <w:b/>
          <w:bCs/>
          <w:color w:val="B00020"/>
        </w:rPr>
        <w:t xml:space="preserve">3（誤）</w:t>
      </w:r>
      <w:r>
        <w:t xml:space="preserve">　6.1節では、段落構成を大局的に点検したうえで、文と文の関係や各文の構成も見直します。個々の表現だけを直し、段落の役割やつながりを点検対象から外す方針ではありません。</w:t>
      </w:r>
    </w:p>
    <w:p>
      <w:pPr>
        <w:spacing w:after="100"/>
      </w:pPr>
      <w:r>
        <w:rPr>
          <w:b/>
          <w:bCs/>
          <w:color w:val="B00020"/>
        </w:rPr>
        <w:t xml:space="preserve">4（誤）</w:t>
      </w:r>
      <w:r>
        <w:t xml:space="preserve">　6.1節は、トピック・センテンスが整っていても説得力が乏しい場合には、書く内容が乏しい可能性を指摘しています。案内する文の形式だけで、内容の充実や説得力が保証されるわけではありません。</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ガイドは、問いへの回答がなぜ合理的なのかを理由や根拠から検討するよう求めています。接続表現の置換だけでは、読書傾向についての主張が何に基づくかを確かめる作業は済みません。</w:t>
      </w:r>
    </w:p>
    <w:p>
      <w:pPr>
        <w:spacing w:after="100"/>
      </w:pPr>
      <w:r>
        <w:rPr>
          <w:b/>
          <w:bCs/>
          <w:color w:val="2E7D32"/>
        </w:rPr>
        <w:t xml:space="preserve">2（正）</w:t>
      </w:r>
      <w:r>
        <w:t xml:space="preserve">　ガイドは、自分の回答に理由や根拠を与え、資料を用いる際にも、なぜそう言えるか、どのような調査を経たのかを検討するよう示します。この方針を抜粋に適用し、限られた車内での観察から何が言えるかを吟味する指導です。「と思う」を「と考えられる」に換えるだけで、根拠の確かさが増すわけではありません。</w:t>
      </w:r>
    </w:p>
    <w:p>
      <w:pPr>
        <w:spacing w:after="100"/>
      </w:pPr>
      <w:r>
        <w:rPr>
          <w:b/>
          <w:bCs/>
          <w:color w:val="B00020"/>
        </w:rPr>
        <w:t xml:space="preserve">3（誤）</w:t>
      </w:r>
      <w:r>
        <w:t xml:space="preserve">　ガイドは、自分の考えた部分と資料に書かれた部分を区別して提示することを重視します。自分の答えをすべて消すことでも、問いとの関係を検討せず資料を羅列することでもありません。</w:t>
      </w:r>
    </w:p>
    <w:p>
      <w:pPr>
        <w:spacing w:after="100"/>
      </w:pPr>
      <w:r>
        <w:rPr>
          <w:b/>
          <w:bCs/>
          <w:color w:val="B00020"/>
        </w:rPr>
        <w:t xml:space="preserve">4（誤）</w:t>
      </w:r>
      <w:r>
        <w:t xml:space="preserve">　ガイドの方針は、回答の理由や根拠が十分かを検討することです。感情を強調しても、読書傾向についての主張を支える資料の質や、その主張との関連は確かめられません。</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用語集73頁は、自分の主要な文化を中心に据え、それを参照して他を評価する見方を自民族中心主義として説明します。自集団のやり方を優越視する偏見も含みます。常に無意識である、常に蔑視を伴う、という条件には限定されません。</w:t>
      </w:r>
    </w:p>
    <w:p>
      <w:pPr>
        <w:spacing w:after="100"/>
      </w:pPr>
      <w:r>
        <w:rPr>
          <w:b/>
          <w:bCs/>
          <w:color w:val="B00020"/>
        </w:rPr>
        <w:t xml:space="preserve">2（誤）</w:t>
      </w:r>
      <w:r>
        <w:t xml:space="preserve">　42頁のRespectは、他者の尊厳と権利を尊重することを、相手の信念や慣行への同意・採用・改宗と区別しています。相手の文化的実践をすべて自分も採用する必要があるという説明は誤りです。</w:t>
      </w:r>
    </w:p>
    <w:p>
      <w:pPr>
        <w:spacing w:after="100"/>
      </w:pPr>
      <w:r>
        <w:rPr>
          <w:b/>
          <w:bCs/>
          <w:color w:val="B00020"/>
        </w:rPr>
        <w:t xml:space="preserve">3（誤）</w:t>
      </w:r>
      <w:r>
        <w:t xml:space="preserve">　41頁のOpennessは、他者への判断をいったん留保し、自分の世界観・信念・慣行が当然だという見方を問い直す意思を挙げています。自分の前提を問い直さないという説明は逆です。</w:t>
      </w:r>
    </w:p>
    <w:p>
      <w:pPr>
        <w:spacing w:after="100"/>
      </w:pPr>
      <w:r>
        <w:rPr>
          <w:b/>
          <w:bCs/>
          <w:color w:val="B00020"/>
        </w:rPr>
        <w:t xml:space="preserve">4（誤）</w:t>
      </w:r>
      <w:r>
        <w:t xml:space="preserve">　42–43頁は尊重に限界を設け、他者の尊厳・人権・自由を損なう信念や慣行の内容を尊重の対象としません。文化差を理解しようとすることと、すべての行為を無条件に肯定することは区別されます。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Soundの内部データは時間に対応したサンプルと振幅を含み、Intro2.2は波形とその下の解析表示を区別しています。Intro4.1のピッチ曲線は時間に沿ったピッチの表示であり、波形を表示しただけで同じ値を得たことにはなりません。</w:t>
      </w:r>
    </w:p>
    <w:p>
      <w:pPr>
        <w:spacing w:after="100"/>
      </w:pPr>
      <w:r>
        <w:rPr>
          <w:b/>
          <w:bCs/>
          <w:color w:val="2E7D32"/>
        </w:rPr>
        <w:t xml:space="preserve">2（正）</w:t>
      </w:r>
      <w:r>
        <w:t xml:space="preserve">　Intro2.2と4.1は波形とピッチ曲線を別に説明しています。4.2は、話者により声の高さの範囲が大きく異なること、下限などの設定が解析や時間分解能に関わることを示します。図の一致だけで発音の正誤や習得を確定する説明ではなく、分析条件を確かめる必要があります。</w:t>
      </w:r>
    </w:p>
    <w:p>
      <w:pPr>
        <w:spacing w:after="100"/>
      </w:pPr>
      <w:r>
        <w:rPr>
          <w:b/>
          <w:bCs/>
          <w:color w:val="B00020"/>
        </w:rPr>
        <w:t xml:space="preserve">3（誤）</w:t>
      </w:r>
      <w:r>
        <w:t xml:space="preserve">　Intro4.2は、ピッチ範囲を変えると解析範囲も変わり、曲線自体が変わる場合があると説明しています。解析範囲を変えず表示だけを拡大するにはView rangeを用いるため、二つの操作は常に同じではありません。</w:t>
      </w:r>
    </w:p>
    <w:p>
      <w:pPr>
        <w:spacing w:after="100"/>
      </w:pPr>
      <w:r>
        <w:rPr>
          <w:b/>
          <w:bCs/>
          <w:color w:val="B00020"/>
        </w:rPr>
        <w:t xml:space="preserve">4（誤）</w:t>
      </w:r>
      <w:r>
        <w:t xml:space="preserve">　Intro2.2は、SoundEditorで波形や解析を表示し、区間を選択して再生する操作を説明しています。表示すると選択区間を再生できなくなるという肢は、この機能に反します。再生して聞けることと、発音学習の効果を実証したことは別で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139頁で著者が提案する仮説では、インテイクは学習者が気づいたインプットの部分です。教師が提示したことだけで、学習者の気づきとは無関係に全てがインテイクになるという説明ではありません。</w:t>
      </w:r>
    </w:p>
    <w:p>
      <w:pPr>
        <w:spacing w:after="100"/>
      </w:pPr>
      <w:r>
        <w:rPr>
          <w:b/>
          <w:bCs/>
          <w:color w:val="B00020"/>
        </w:rPr>
        <w:t xml:space="preserve">2（誤）</w:t>
      </w:r>
      <w:r>
        <w:t xml:space="preserve">　132頁は気づきと理解を区別し、気づいた経験でも言葉で表現しにくい場合があると述べます。規則を説明できないことだけから、形式への気づきが全くないと結論することはできません。</w:t>
      </w:r>
    </w:p>
    <w:p>
      <w:pPr>
        <w:spacing w:after="100"/>
      </w:pPr>
      <w:r>
        <w:rPr>
          <w:b/>
          <w:bCs/>
          <w:color w:val="2E7D32"/>
        </w:rPr>
        <w:t xml:space="preserve">3（正）</w:t>
      </w:r>
      <w:r>
        <w:t xml:space="preserve">　139頁は、意味の理解に使われたインプットが全て形式学習のインテイクになるとは限らないとし、学習者の気づきを位置付けます。149頁でも形式を目立たせる指導の役割に触れます。この工夫は気づく機会を作る意図であり、教師の説明だけで本人の気づきや習得が保証されたという判断とは区別します。</w:t>
      </w:r>
    </w:p>
    <w:p>
      <w:pPr>
        <w:spacing w:after="100"/>
      </w:pPr>
      <w:r>
        <w:rPr>
          <w:b/>
          <w:bCs/>
          <w:color w:val="B00020"/>
        </w:rPr>
        <w:t xml:space="preserve">4（誤）</w:t>
      </w:r>
      <w:r>
        <w:t xml:space="preserve">　141頁では、一時的に形式に気づいて繰り返したと考えられても、その後は使わなかった例を挙げ、紹介した研究が気づきだけで学習に十分だと実証したものではないと明記しています。気づきの確認と、その後の保持・習得の確認を同一視する肢は誤りです。</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47頁は自分の前提を認識して証拠と照らすこと、52–53頁は能動的な振り返りと自己の判断の点検を挙げます。経験が浅いことだけを理由に、点検そのものを不要とする肢は、この観点に合いません。気づきが成長に直結するという効果の保証ではありません。</w:t>
      </w:r>
    </w:p>
    <w:p>
      <w:pPr>
        <w:spacing w:after="100"/>
      </w:pPr>
      <w:r>
        <w:rPr>
          <w:b/>
          <w:bCs/>
          <w:color w:val="B00020"/>
        </w:rPr>
        <w:t xml:space="preserve">2（誤）</w:t>
      </w:r>
      <w:r>
        <w:t xml:space="preserve">　ケース1では、教師自身が自分の訂正の適切さを疑っています。学習者の応答を初めから誤用と決めて無視するだけでは、47頁の証拠に基づく判断や53頁の自分の前提の点検になりません。</w:t>
      </w:r>
    </w:p>
    <w:p>
      <w:pPr>
        <w:spacing w:after="100"/>
      </w:pPr>
      <w:r>
        <w:rPr>
          <w:b/>
          <w:bCs/>
          <w:color w:val="2E7D32"/>
        </w:rPr>
        <w:t xml:space="preserve">3（正）</w:t>
      </w:r>
      <w:r>
        <w:t xml:space="preserve">　47頁は証拠と整合する評価や、自分の前提の偏りの認識を挙げます。52–53頁は能動的な振り返りと、自分の前提が判断に関わることの理解を示します。発話記録と訂正の根拠を照らし、質問や説明を見直す行為は、これらの観点に沿います。</w:t>
      </w:r>
    </w:p>
    <w:p>
      <w:pPr>
        <w:spacing w:after="100"/>
      </w:pPr>
      <w:r>
        <w:rPr>
          <w:b/>
          <w:bCs/>
          <w:color w:val="B00020"/>
        </w:rPr>
        <w:t xml:space="preserve">4（誤）</w:t>
      </w:r>
      <w:r>
        <w:t xml:space="preserve">　52頁は批判的理解を自動的・無反省な解釈と区別します。やり方を今後一切変えないと初めから決める方針は、記録を調べて訂正や説明を点検するという今回の目的に合いません。</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CumminsはCALPを、学校での学習に関わる概念を口頭と書記の両方で理解・表現する力として説明しています。講義の概念・要点の理解と記録は、このケースの不安と目標に直接対応します。特定のノート指導法の効果を理論だけから保証する意味ではありません。</w:t>
      </w:r>
    </w:p>
    <w:p>
      <w:pPr>
        <w:spacing w:after="100"/>
      </w:pPr>
      <w:r>
        <w:rPr>
          <w:b/>
          <w:bCs/>
          <w:color w:val="B00020"/>
        </w:rPr>
        <w:t xml:space="preserve">2（誤）</w:t>
      </w:r>
      <w:r>
        <w:t xml:space="preserve">　発音の正確さだけに目標を限定すると、ケースに明記された講義内容の理解と記録の課題を扱えません。発音練習一般の有用性を否定しているのではありません。</w:t>
      </w:r>
    </w:p>
    <w:p>
      <w:pPr>
        <w:spacing w:after="100"/>
      </w:pPr>
      <w:r>
        <w:rPr>
          <w:b/>
          <w:bCs/>
          <w:color w:val="B00020"/>
        </w:rPr>
        <w:t xml:space="preserve">3（誤）</w:t>
      </w:r>
      <w:r>
        <w:t xml:space="preserve">　BICSとCALPは概念的に区別され、日常会話が流暢であることだけでは学習場面の言語使用まで保証されません。ただし、日常会話が学習に役立たないという意味でもありません。</w:t>
      </w:r>
    </w:p>
    <w:p>
      <w:pPr>
        <w:spacing w:after="100"/>
      </w:pPr>
      <w:r>
        <w:rPr>
          <w:b/>
          <w:bCs/>
          <w:color w:val="B00020"/>
        </w:rPr>
        <w:t xml:space="preserve">4（誤）</w:t>
      </w:r>
      <w:r>
        <w:t xml:space="preserve">　あいさつの暗記だけでは、このケースで求める講義理解と記録を目標に含められません。日常のあいさつ自体を不要とする判断ではありません。</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CEFRの5.2.1.2は、文法的な資源を理解し用いる能力を扱います。本問の焦点は活用形の作り方ではなく、同じ部長の発言を誰に伝えるかによる表現の選択です。動詞の活用だけに限定する肢では、この使い分けを説明できません。</w:t>
      </w:r>
    </w:p>
    <w:p>
      <w:pPr>
        <w:spacing w:after="100"/>
      </w:pPr>
      <w:r>
        <w:rPr>
          <w:b/>
          <w:bCs/>
          <w:color w:val="2E7D32"/>
        </w:rPr>
        <w:t xml:space="preserve">2（正）</w:t>
      </w:r>
      <w:r>
        <w:t xml:space="preserve">　CEFRの5.2.2は、言語使用の社会的側面に関する知識と技能を扱い、社会的関係を示す表現や丁寧さの慣習などを挙げます。敬語の指針の会社内外の例とも照合すると、このケースの主な焦点は相手との関係に応じた表現選択であり、社会言語能力に対応します。本人への引用を一律に誤用とする判断ではありません。</w:t>
      </w:r>
    </w:p>
    <w:p>
      <w:pPr>
        <w:spacing w:after="100"/>
      </w:pPr>
      <w:r>
        <w:rPr>
          <w:b/>
          <w:bCs/>
          <w:color w:val="B00020"/>
        </w:rPr>
        <w:t xml:space="preserve">3（誤）</w:t>
      </w:r>
      <w:r>
        <w:t xml:space="preserve">　CEFRの5.2.1.4は、音や韻律などの知識と知覚・産出の技能を扱います。本問が明示しているのは聞き手との関係による言葉遣いの選択であり、発音の正確さだけに限定する肢はその焦点に合いません。ケースだけから学習者の発音全体を評価したものではありません。</w:t>
      </w:r>
    </w:p>
    <w:p>
      <w:pPr>
        <w:spacing w:after="100"/>
      </w:pPr>
      <w:r>
        <w:rPr>
          <w:b/>
          <w:bCs/>
          <w:color w:val="B00020"/>
        </w:rPr>
        <w:t xml:space="preserve">4（誤）</w:t>
      </w:r>
      <w:r>
        <w:t xml:space="preserve">　CEFRの5.2.1.5は、文字や綴り、句読点など、書かれたテキストを構成する記号を扱う知識と技能を挙げます。本問は文字表記の誤りではなく、社内と取引先への報告での表現選択を問うため、正書法だけに限定する肢は合いません。</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ケース4　多国籍クラスでの文化的な誤解への対応（架空事例）</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本文には、文法的な誤用やその意味の取り違えを示す発言はありません。双方が述べた順番の決め方の違いを、文法誤用の証拠へ読み替えることはできません。</w:t>
      </w:r>
    </w:p>
    <w:p>
      <w:pPr>
        <w:spacing w:after="100"/>
      </w:pPr>
      <w:r>
        <w:rPr>
          <w:b/>
          <w:bCs/>
          <w:color w:val="2E7D32"/>
        </w:rPr>
        <w:t xml:space="preserve">2（正）</w:t>
      </w:r>
      <w:r>
        <w:t xml:space="preserve">　本文が示すのは、年上を優先するという前提と、くじ引きなどを公平とする前提の相違です。RFCDC52頁の、対立の原因を文脈の中で捉えるという観点に沿って本人の発言から判断します。国籍だけで価値観や原因を決める判断とは区別します。</w:t>
      </w:r>
    </w:p>
    <w:p>
      <w:pPr>
        <w:spacing w:after="100"/>
      </w:pPr>
      <w:r>
        <w:rPr>
          <w:b/>
          <w:bCs/>
          <w:color w:val="B00020"/>
        </w:rPr>
        <w:t xml:space="preserve">3（誤）</w:t>
      </w:r>
      <w:r>
        <w:t xml:space="preserve">　本文には、音声が聞き取りにくかったという情報はありません。発音による誤解を背景とするには、本文にない事実を加えることになります。</w:t>
      </w:r>
    </w:p>
    <w:p>
      <w:pPr>
        <w:spacing w:after="100"/>
      </w:pPr>
      <w:r>
        <w:rPr>
          <w:b/>
          <w:bCs/>
          <w:color w:val="B00020"/>
        </w:rPr>
        <w:t xml:space="preserve">4（誤）</w:t>
      </w:r>
      <w:r>
        <w:t xml:space="preserve">　本文には、語の意味が分からなかったという情報はありません。本人たちが述べた順番の決め方の相違を、単なる語彙不足へ置き換える根拠はありません。</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RFCDC51–52頁は、相互理解と合意形成の過程を重視します。くじ引きという手段をあらゆる場面で禁止する説明ではなく、この事例で当事者の視点をどう扱ったかが問われています。</w:t>
      </w:r>
    </w:p>
    <w:p>
      <w:pPr>
        <w:spacing w:after="100"/>
      </w:pPr>
      <w:r>
        <w:rPr>
          <w:b/>
          <w:bCs/>
          <w:color w:val="2E7D32"/>
        </w:rPr>
        <w:t xml:space="preserve">2（正）</w:t>
      </w:r>
      <w:r>
        <w:t xml:space="preserve">　教師は事情を聞きましたが、二人が互いの考えを聞き合う時間を設けず、自分の説明で順番を決めさせています。52頁の異なる視点の理解や受け入れられる解決への支援に照らし、この過程を検討する余地があります。「日本では普通」という発言の内容を事実として認める判断ではありません。</w:t>
      </w:r>
    </w:p>
    <w:p>
      <w:pPr>
        <w:spacing w:after="100"/>
      </w:pPr>
      <w:r>
        <w:rPr>
          <w:b/>
          <w:bCs/>
          <w:color w:val="B00020"/>
        </w:rPr>
        <w:t xml:space="preserve">3（誤）</w:t>
      </w:r>
      <w:r>
        <w:t xml:space="preserve">　52頁は、当事者の視点を聞いて理解し、共通点や解決の選択肢を検討する技能を挙げます。その機会を設けない対応を、問題がなく最も望ましいとする評価は、この観点に合いません。</w:t>
      </w:r>
    </w:p>
    <w:p>
      <w:pPr>
        <w:spacing w:after="100"/>
      </w:pPr>
      <w:r>
        <w:rPr>
          <w:b/>
          <w:bCs/>
          <w:color w:val="B00020"/>
        </w:rPr>
        <w:t xml:space="preserve">4（誤）</w:t>
      </w:r>
      <w:r>
        <w:t xml:space="preserve">　52頁は異なる視点を聞いて理解する技能を挙げています。事情を聞いたこと自体を問題とするのではなく、その後に双方の理解や合意を支える過程があったかを点検します。</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52頁は、異なる視点を理解し、当事者が受け入れられる解決を支援する技能を示します。一方の意見だけを採用して従わせることは、その過程の代わりにはなりません。</w:t>
      </w:r>
    </w:p>
    <w:p>
      <w:pPr>
        <w:spacing w:after="100"/>
      </w:pPr>
      <w:r>
        <w:rPr>
          <w:b/>
          <w:bCs/>
          <w:color w:val="2E7D32"/>
        </w:rPr>
        <w:t xml:space="preserve">2（正）</w:t>
      </w:r>
      <w:r>
        <w:t xml:space="preserve">　51–52頁は、双方の視点を聞くこと、合意の土台や解決の選択肢を探ること、受け入れられる解決を支援することを示します。背景を尋ねてやり方を一緒に検討する対応は、この説明に沿うものです。実施すれば必ず納得や解決が得られると保証するものではありません。</w:t>
      </w:r>
    </w:p>
    <w:p>
      <w:pPr>
        <w:spacing w:after="100"/>
      </w:pPr>
      <w:r>
        <w:rPr>
          <w:b/>
          <w:bCs/>
          <w:color w:val="B00020"/>
        </w:rPr>
        <w:t xml:space="preserve">3（誤）</w:t>
      </w:r>
      <w:r>
        <w:t xml:space="preserve">　52頁は対立の原因や文脈を捉え、解決の選択肢を検討する技能を示します。対立の内容を扱わず次の活動へ進むだけでは、この事例で求めた解決を探る過程になりません。再発率を予測した説明ではありません。</w:t>
      </w:r>
    </w:p>
    <w:p>
      <w:pPr>
        <w:spacing w:after="100"/>
      </w:pPr>
      <w:r>
        <w:rPr>
          <w:b/>
          <w:bCs/>
          <w:color w:val="B00020"/>
        </w:rPr>
        <w:t xml:space="preserve">4（誤）</w:t>
      </w:r>
      <w:r>
        <w:t xml:space="preserve">　52頁は、相手の視点を振り返るために一時的な休止が必要な場合も認めています。一時休止や安全への配慮と、二度と関わらせないと固定することは異なります。この肢は双方の受け入れられる解決を探る過程を設けていません。</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51頁は、集団の中で意見を表し、他の人の発言を促し、合意や妥協を作る技能を挙げます。順番のルールを話し合う時間を設けることは、それらを用いる機会を作る工夫です。対立が必ず防げるという効果の保証ではありません。</w:t>
      </w:r>
    </w:p>
    <w:p>
      <w:pPr>
        <w:spacing w:after="100"/>
      </w:pPr>
      <w:r>
        <w:rPr>
          <w:b/>
          <w:bCs/>
          <w:color w:val="B00020"/>
        </w:rPr>
        <w:t xml:space="preserve">2（誤）</w:t>
      </w:r>
      <w:r>
        <w:t xml:space="preserve">　30頁は文化集団の内部の多様性を示します。この事例から特定の国籍同士が対立しやすいとは分かりません。国籍を理由に組ませない方針は、本人たちが意見を出し合う機会を設けるという設問の目的にも合いません。</w:t>
      </w:r>
    </w:p>
    <w:p>
      <w:pPr>
        <w:spacing w:after="100"/>
      </w:pPr>
      <w:r>
        <w:rPr>
          <w:b/>
          <w:bCs/>
          <w:color w:val="B00020"/>
        </w:rPr>
        <w:t xml:space="preserve">3（誤）</w:t>
      </w:r>
      <w:r>
        <w:t xml:space="preserve">　51頁の協働には、他の人が意見を表すことを促し、合意を作る技能が含まれます。常に教師だけで決める方針は、学習者が合意を作る機会を設けるという設問の目的に合いません。全ての授業ルールを必ず学習者だけで決めるという説明ではありません。</w:t>
      </w:r>
    </w:p>
    <w:p>
      <w:pPr>
        <w:spacing w:after="100"/>
      </w:pPr>
      <w:r>
        <w:rPr>
          <w:b/>
          <w:bCs/>
          <w:color w:val="B00020"/>
        </w:rPr>
        <w:t xml:space="preserve">4（誤）</w:t>
      </w:r>
      <w:r>
        <w:t xml:space="preserve">　51頁は共有する活動での協働や、対立に平和的な手段と対話で対応する技能を示します。個人活動だけに限定してしまうことは、今回問う集団で意見を出し合う機会を作る工夫ではありません。個人活動の価値を否定するものではありません。</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52頁は当事者の視点や対立の文脈を理解すること、53頁は自分の前提や経験が他者への判断に関わることを示します。本人が述べた前提も検討せず、文化的背景を知る必要がないと一括して除外する姿勢は、この事例を見直す観点に合いません。</w:t>
      </w:r>
    </w:p>
    <w:p>
      <w:pPr>
        <w:spacing w:after="100"/>
      </w:pPr>
      <w:r>
        <w:rPr>
          <w:b/>
          <w:bCs/>
          <w:color w:val="B00020"/>
        </w:rPr>
        <w:t xml:space="preserve">2（誤）</w:t>
      </w:r>
      <w:r>
        <w:t xml:space="preserve">　52頁は批判的理解に能動的な振り返りと評価を位置付けています。振り返りを初めから不要とする方針は、今回指定した自己の批判的理解に沿いません。</w:t>
      </w:r>
    </w:p>
    <w:p>
      <w:pPr>
        <w:spacing w:after="100"/>
      </w:pPr>
      <w:r>
        <w:rPr>
          <w:b/>
          <w:bCs/>
          <w:color w:val="2E7D32"/>
        </w:rPr>
        <w:t xml:space="preserve">3（正）</w:t>
      </w:r>
      <w:r>
        <w:t xml:space="preserve">　52–53頁は、自分の見方の偏りや、その基になる前提・思い込み、経験が他者への判断に関わることを理解するよう示します。自分の発言や判断をこれらと照らして見直す取り組みは、この説明に沿っています。特定の省察理論の定義や、授業改善の効果を実証した説明ではありません。</w:t>
      </w:r>
    </w:p>
    <w:p>
      <w:pPr>
        <w:spacing w:after="100"/>
      </w:pPr>
      <w:r>
        <w:rPr>
          <w:b/>
          <w:bCs/>
          <w:color w:val="B00020"/>
        </w:rPr>
        <w:t xml:space="preserve">4（誤）</w:t>
      </w:r>
      <w:r>
        <w:t xml:space="preserve">　本文には、同じ問題が二度と起こらないと判断できる情報はありません。それを理由に振り返りを行わない方針は、52–53頁の自分の前提や判断を批判的に点検する姿勢に合いません。</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Cumminsは、会話の流暢さを学習場面の言語能力全体と同一視した評価・指導上の問題を示しています。会話ができることだけで教科学習に必要な言語使用が十分だとは判断できません。</w:t>
      </w:r>
    </w:p>
    <w:p>
      <w:pPr>
        <w:spacing w:after="100"/>
      </w:pPr>
      <w:r>
        <w:rPr>
          <w:b/>
          <w:bCs/>
          <w:color w:val="2E7D32"/>
        </w:rPr>
        <w:t xml:space="preserve">2（正）</w:t>
      </w:r>
      <w:r>
        <w:t xml:space="preserve">　BICSは会話の流暢さ、CALPは学習に関わる概念を口頭・書記で理解・表現する力という区別です。ケースの観察から両者を同一視せず、文章題の表現や内容のどこが難しいかを確認する説明が適切です。この観察だけでCALP不足や困難の原因を確定するものではありません。</w:t>
      </w:r>
    </w:p>
    <w:p>
      <w:pPr>
        <w:spacing w:after="100"/>
      </w:pPr>
      <w:r>
        <w:rPr>
          <w:b/>
          <w:bCs/>
          <w:color w:val="B00020"/>
        </w:rPr>
        <w:t xml:space="preserve">3（誤）</w:t>
      </w:r>
      <w:r>
        <w:t xml:space="preserve">　著者は、第二言語での学習上の困難を適切に考慮しない評価が、認知能力や障害について不適切な判断につながった事例を論じています。文章題の理解に要する時間だけで認知能力の不足を診断することはできません。</w:t>
      </w:r>
    </w:p>
    <w:p>
      <w:pPr>
        <w:spacing w:after="100"/>
      </w:pPr>
      <w:r>
        <w:rPr>
          <w:b/>
          <w:bCs/>
          <w:color w:val="B00020"/>
        </w:rPr>
        <w:t xml:space="preserve">4（誤）</w:t>
      </w:r>
      <w:r>
        <w:t xml:space="preserve">　CALPの定義は口頭と書記の両方を含みます。学習内容を伝える口頭説明の理解も関わり得るため、書き言葉だけに限定する説明は誤りです。</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Richardsは、意味への焦点と、言語の学習だけではない成果をタスクの特徴に挙げます。指定文の再生だけを目標にすると、設問で加えた依頼内容の伝達と応諾の確認を達成目標として扱えません。</w:t>
      </w:r>
    </w:p>
    <w:p>
      <w:pPr>
        <w:spacing w:after="100"/>
      </w:pPr>
      <w:r>
        <w:rPr>
          <w:b/>
          <w:bCs/>
          <w:color w:val="B00020"/>
        </w:rPr>
        <w:t xml:space="preserve">2（誤）</w:t>
      </w:r>
      <w:r>
        <w:t xml:space="preserve">　同書は、タスクの遂行を基に言語への意識や言語の発達を扱う説明を示しています。活動後に表現を確認することまで一律に禁止する説明ではありません。</w:t>
      </w:r>
    </w:p>
    <w:p>
      <w:pPr>
        <w:spacing w:after="100"/>
      </w:pPr>
      <w:r>
        <w:rPr>
          <w:b/>
          <w:bCs/>
          <w:color w:val="B00020"/>
        </w:rPr>
        <w:t xml:space="preserve">3（誤）</w:t>
      </w:r>
      <w:r>
        <w:t xml:space="preserve">　同書のPPPの説明は、新しい形式の提示、統制された練習、異なる文脈での使用という順序です。この設問はまず依頼を行い、その後に表現を整理するため、そのまま同じ順序とは言えません。</w:t>
      </w:r>
    </w:p>
    <w:p>
      <w:pPr>
        <w:spacing w:after="100"/>
      </w:pPr>
      <w:r>
        <w:rPr>
          <w:b/>
          <w:bCs/>
          <w:color w:val="2E7D32"/>
        </w:rPr>
        <w:t xml:space="preserve">4（正）</w:t>
      </w:r>
      <w:r>
        <w:t xml:space="preserve">　同書31–32頁の、既有の言語資源を使い意味と成果を重視するタスクの説明に対応します。B教師の事後整理は、活動で必要になった言語へ注意を向ける機会として捉えられます。ロールプレイという名称だけでタスクと判定したり、気づきや習得が必ず起こると保証したりするものではありません。</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同書は、流暢さを重視する活動にも、準備や言語使用への事後のフィードバックに注意が必要だと述べます。意味を伝える活動を入れたという理由だけで、その後の形式面の練習を全排除する方針ではありません。</w:t>
      </w:r>
    </w:p>
    <w:p>
      <w:pPr>
        <w:spacing w:after="100"/>
      </w:pPr>
      <w:r>
        <w:rPr>
          <w:b/>
          <w:bCs/>
          <w:color w:val="B00020"/>
        </w:rPr>
        <w:t xml:space="preserve">2（誤）</w:t>
      </w:r>
      <w:r>
        <w:t xml:space="preserve">　同書は正確さを重視する活動と流暢さを重視する活動の焦点を区別します。活動の働きや目標を検討せず、すべて同じとして教師の好みだけで選ぶ説明は、この区別を無視しています。</w:t>
      </w:r>
    </w:p>
    <w:p>
      <w:pPr>
        <w:spacing w:after="100"/>
      </w:pPr>
      <w:r>
        <w:rPr>
          <w:b/>
          <w:bCs/>
          <w:color w:val="2E7D32"/>
        </w:rPr>
        <w:t xml:space="preserve">3（正）</w:t>
      </w:r>
      <w:r>
        <w:t xml:space="preserve">　同書15–16頁は、両方の活動を組み合わせ、正確さを扱う活動で流暢さを扱う活動を支える考え方を示します。活動中に観察した文法・発音の課題を後の練習で扱う例もあります。目標と観察に基づく選択であり、教授法を混ぜるだけで効果が保証されるという主張ではありません。</w:t>
      </w:r>
    </w:p>
    <w:p>
      <w:pPr>
        <w:spacing w:after="100"/>
      </w:pPr>
      <w:r>
        <w:rPr>
          <w:b/>
          <w:bCs/>
          <w:color w:val="B00020"/>
        </w:rPr>
        <w:t xml:space="preserve">4（誤）</w:t>
      </w:r>
      <w:r>
        <w:t xml:space="preserve">　同書15頁は、正確さを扱う活動が流暢さを扱う活動の前にも後にも置かれ得ると説明します。必ず前に置くという一律の順序制限は合いません。</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ケース13　多文化クラスにおけるコンフリクト・マネジメントの実践（架空事例）</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協働は、自分と相手の双方の関心を十分に満たす解決を探る様式です。自分の関心を抑えて相手を優先するという設問の条件とは異なります。</w:t>
      </w:r>
    </w:p>
    <w:p>
      <w:pPr>
        <w:spacing w:after="100"/>
      </w:pPr>
      <w:r>
        <w:rPr>
          <w:b/>
          <w:bCs/>
          <w:color w:val="2E7D32"/>
        </w:rPr>
        <w:t xml:space="preserve">2（正）</w:t>
      </w:r>
      <w:r>
        <w:t xml:space="preserve">　受容は、自分の関心を抑えて相手の関心を満たそうとする様式です。自己主張が低く、相手への協力性が高いという二軸上の位置付けに対応します。</w:t>
      </w:r>
    </w:p>
    <w:p>
      <w:pPr>
        <w:spacing w:after="100"/>
      </w:pPr>
      <w:r>
        <w:rPr>
          <w:b/>
          <w:bCs/>
          <w:color w:val="B00020"/>
        </w:rPr>
        <w:t xml:space="preserve">3（誤）</w:t>
      </w:r>
      <w:r>
        <w:t xml:space="preserve">　回避は、自分と相手のどちらの関心も追求せず、対立を扱わない様式です。相手の関心を満たそうとする受容とは区別されます。先送りだけが回避の形ではありません。</w:t>
      </w:r>
    </w:p>
    <w:p>
      <w:pPr>
        <w:spacing w:after="100"/>
      </w:pPr>
      <w:r>
        <w:rPr>
          <w:b/>
          <w:bCs/>
          <w:color w:val="B00020"/>
        </w:rPr>
        <w:t xml:space="preserve">4（誤）</w:t>
      </w:r>
      <w:r>
        <w:t xml:space="preserve">　競争は、相手の関心を犠牲にして自分の関心を追求する様式です。自己主張が高く協力性が低いため、設問の条件とは逆です。</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妥協は、双方が部分的に満足できる、互いに受け入れられる解決を探る様式です。設問が追加した、一部ずつ譲り合う中間案という条件に対応します。</w:t>
      </w:r>
    </w:p>
    <w:p>
      <w:pPr>
        <w:spacing w:after="100"/>
      </w:pPr>
      <w:r>
        <w:rPr>
          <w:b/>
          <w:bCs/>
          <w:color w:val="B00020"/>
        </w:rPr>
        <w:t xml:space="preserve">2（誤）</w:t>
      </w:r>
      <w:r>
        <w:t xml:space="preserve">　協働は、双方の根底にあるニーズを探り、双方の関心を十分に満たす解決を探る様式です。部分的な充足で合意するという今回の条件は、妥協に対応します。</w:t>
      </w:r>
    </w:p>
    <w:p>
      <w:pPr>
        <w:spacing w:after="100"/>
      </w:pPr>
      <w:r>
        <w:rPr>
          <w:b/>
          <w:bCs/>
          <w:color w:val="B00020"/>
        </w:rPr>
        <w:t xml:space="preserve">3（誤）</w:t>
      </w:r>
      <w:r>
        <w:t xml:space="preserve">　競争は、相手の関心を犠牲にして自分の関心を追求する様式です。双方が一部を譲って合意したという条件とは異なります。</w:t>
      </w:r>
    </w:p>
    <w:p>
      <w:pPr>
        <w:spacing w:after="100"/>
      </w:pPr>
      <w:r>
        <w:rPr>
          <w:b/>
          <w:bCs/>
          <w:color w:val="B00020"/>
        </w:rPr>
        <w:t xml:space="preserve">4（誤）</w:t>
      </w:r>
      <w:r>
        <w:t xml:space="preserve">　設問では、双方が話し合って中間案に合意しています。対立を扱わない回避とは異なります。ケース本文の次回まで考える時間を設けたことだけで、対応全体を回避と決めることもできません。</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本文には、文法の誤りやその意味の取り違えを示す情報がありません。本人たちの発言を、文法能力の違いだけが原因だという証拠に置き換えることはできません。</w:t>
      </w:r>
    </w:p>
    <w:p>
      <w:pPr>
        <w:spacing w:after="100"/>
      </w:pPr>
      <w:r>
        <w:rPr>
          <w:b/>
          <w:bCs/>
          <w:color w:val="2E7D32"/>
        </w:rPr>
        <w:t xml:space="preserve">2（正）</w:t>
      </w:r>
      <w:r>
        <w:t xml:space="preserve">　本人たちは、早く決めることと全員の納得まで話し合うことを、それぞれ重視しています。RFCDC52頁の、対立の原因を文脈の中で捉える観点に沿う読みです。国籍や文化が単独の原因だと確定する判断ではありません。</w:t>
      </w:r>
    </w:p>
    <w:p>
      <w:pPr>
        <w:spacing w:after="100"/>
      </w:pPr>
      <w:r>
        <w:rPr>
          <w:b/>
          <w:bCs/>
          <w:color w:val="B00020"/>
        </w:rPr>
        <w:t xml:space="preserve">3（誤）</w:t>
      </w:r>
      <w:r>
        <w:t xml:space="preserve">　本文には、双方が異なる進め方を重視して対立したという理由が示されています。特に理由がないとする説明は、この情報を無視しています。</w:t>
      </w:r>
    </w:p>
    <w:p>
      <w:pPr>
        <w:spacing w:after="100"/>
      </w:pPr>
      <w:r>
        <w:rPr>
          <w:b/>
          <w:bCs/>
          <w:color w:val="B00020"/>
        </w:rPr>
        <w:t xml:space="preserve">4（誤）</w:t>
      </w:r>
      <w:r>
        <w:t xml:space="preserve">　本文には、発音が聞き取れなかったという情報がありません。発音の違いだけが原因だとするには、本文にない事実を加えることになります。</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RFCDC51頁は、意見を表し他者の発言を促すことや、合意を作る技能を挙げます。学習者に話し合わせない方針は、今回求める学習者の合意形成の機会を設ける工夫ではありません。</w:t>
      </w:r>
    </w:p>
    <w:p>
      <w:pPr>
        <w:spacing w:after="100"/>
      </w:pPr>
      <w:r>
        <w:rPr>
          <w:b/>
          <w:bCs/>
          <w:color w:val="B00020"/>
        </w:rPr>
        <w:t xml:space="preserve">2（誤）</w:t>
      </w:r>
      <w:r>
        <w:t xml:space="preserve">　国籍だけで分けても、意思決定の方法について意見を出し合う機会を設けたことにはなりません。30頁は文化集団の内部の多様性を示しており、同国籍なら同じ価値観だと推定する根拠にもなりません。</w:t>
      </w:r>
    </w:p>
    <w:p>
      <w:pPr>
        <w:spacing w:after="100"/>
      </w:pPr>
      <w:r>
        <w:rPr>
          <w:b/>
          <w:bCs/>
          <w:color w:val="2E7D32"/>
        </w:rPr>
        <w:t xml:space="preserve">3（正）</w:t>
      </w:r>
      <w:r>
        <w:t xml:space="preserve">　51頁の協働には、集団で意見を表し、他者の発言を促し、合意や妥協を作る技能が含まれます。事前にルールを話し合う時間を設けることは、これらを用いる機会を作る工夫です。対立の予防効果を保証する説明ではありません。</w:t>
      </w:r>
    </w:p>
    <w:p>
      <w:pPr>
        <w:spacing w:after="100"/>
      </w:pPr>
      <w:r>
        <w:rPr>
          <w:b/>
          <w:bCs/>
          <w:color w:val="B00020"/>
        </w:rPr>
        <w:t xml:space="preserve">4（誤）</w:t>
      </w:r>
      <w:r>
        <w:t xml:space="preserve">　交流を最小限にする方針は、今回の設問が求める意見交換と合意形成の機会を設ける工夫ではありません。安全のため一時的に活動を中断する必要がある場合まで否定する説明ではありません。</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教師は、異なる重視点を聞き合い、双方が受け入れられる解決を探ることを目標として明示しています。発音の正確さだけに限定する肢は、この目標に対応しません。</w:t>
      </w:r>
    </w:p>
    <w:p>
      <w:pPr>
        <w:spacing w:after="100"/>
      </w:pPr>
      <w:r>
        <w:rPr>
          <w:b/>
          <w:bCs/>
          <w:color w:val="2E7D32"/>
        </w:rPr>
        <w:t xml:space="preserve">2（正）</w:t>
      </w:r>
      <w:r>
        <w:t xml:space="preserve">　RFCDC52頁は、当事者の異なる視点の理解、解決の選択肢の検討、受け入れられる解決への支援を挙げます。これらに対応する力は、本文で教師が明示した目標に合います。この授業だけでその力の習得が完了したとする判断ではありません。</w:t>
      </w:r>
    </w:p>
    <w:p>
      <w:pPr>
        <w:spacing w:after="100"/>
      </w:pPr>
      <w:r>
        <w:rPr>
          <w:b/>
          <w:bCs/>
          <w:color w:val="B00020"/>
        </w:rPr>
        <w:t xml:space="preserve">3（誤）</w:t>
      </w:r>
      <w:r>
        <w:t xml:space="preserve">　本文の目標は、異なる重視点を理解して解決を探ることです。文法と語彙だけに限定する肢は、この目標に対応しません。文法や語彙の学習の価値を否定する説明ではありません。</w:t>
      </w:r>
    </w:p>
    <w:p>
      <w:pPr>
        <w:spacing w:after="100"/>
      </w:pPr>
      <w:r>
        <w:rPr>
          <w:b/>
          <w:bCs/>
          <w:color w:val="B00020"/>
        </w:rPr>
        <w:t xml:space="preserve">4（誤）</w:t>
      </w:r>
      <w:r>
        <w:t xml:space="preserve">　本文の目標には、どの言語を用いるかだけでなく、異なる重視点を聞き合って解決を探る過程が含まれます。特定の言語を話せることだけに限定する肢は、この目標に対応しません。</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Bower・Cross・Coyleの説明では、CLILは内容と言語の二重の焦点をもち、内容の目標から必要な言語を検討します。環境に関する資料を読み、話し合い、比較レポートを書くケースに、この二重の目標を具体化した設計です。</w:t>
      </w:r>
    </w:p>
    <w:p>
      <w:pPr>
        <w:spacing w:after="100"/>
      </w:pPr>
      <w:r>
        <w:rPr>
          <w:b/>
          <w:bCs/>
          <w:color w:val="B00020"/>
        </w:rPr>
        <w:t xml:space="preserve">2（誤）</w:t>
      </w:r>
      <w:r>
        <w:t xml:space="preserve">　CLILのContentは、主題についての知識・概念・技能を含みます。話題を用いるだけで内容の理解を目標から除く説明では、内容と言語を統合する二重の焦点を満たしません。</w:t>
      </w:r>
    </w:p>
    <w:p>
      <w:pPr>
        <w:spacing w:after="100"/>
      </w:pPr>
      <w:r>
        <w:rPr>
          <w:b/>
          <w:bCs/>
          <w:color w:val="B00020"/>
        </w:rPr>
        <w:t xml:space="preserve">3（誤）</w:t>
      </w:r>
      <w:r>
        <w:t xml:space="preserve">　Communicationは、学ぶ知識・概念・技能について意味を作り伝える言語に関わります。資料読解や意見交換に必要な日本語を学習対象から除く設計は、言語も焦点とする説明と合いません。</w:t>
      </w:r>
    </w:p>
    <w:p>
      <w:pPr>
        <w:spacing w:after="100"/>
      </w:pPr>
      <w:r>
        <w:rPr>
          <w:b/>
          <w:bCs/>
          <w:color w:val="B00020"/>
        </w:rPr>
        <w:t xml:space="preserve">4（誤）</w:t>
      </w:r>
      <w:r>
        <w:t xml:space="preserve">　取得した著者の枠組みは、内容の目標と言語の要求を結び付けて設計するものです。二つは両立しないという説明は反対です。二重の目標を設定することと、全員の学習効果を保証することは別です。</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公式の拠点紹介は、海外事務所も足がかりに、世界各国の関係機関と連携してグローバルに活動すると説明します。国内だけに限定する説明ではありません。</w:t>
      </w:r>
    </w:p>
    <w:p>
      <w:pPr>
        <w:spacing w:after="100"/>
      </w:pPr>
      <w:r>
        <w:rPr>
          <w:b/>
          <w:bCs/>
          <w:color w:val="B00020"/>
        </w:rPr>
        <w:t xml:space="preserve">2（誤）</w:t>
      </w:r>
      <w:r>
        <w:t xml:space="preserve">　公式の拠点紹介は、海外事務所とともに、国内の附属機関・支部を活動の足がかりとして挙げています。海外事務所だけで完結するという説明ではありません。</w:t>
      </w:r>
    </w:p>
    <w:p>
      <w:pPr>
        <w:spacing w:after="100"/>
      </w:pPr>
      <w:r>
        <w:rPr>
          <w:b/>
          <w:bCs/>
          <w:color w:val="2E7D32"/>
        </w:rPr>
        <w:t xml:space="preserve">3（正）</w:t>
      </w:r>
      <w:r>
        <w:t xml:space="preserve">　公式の拠点紹介に挙げられた活動の基盤と連携相手に対応します。個々の事業や窓口を全拠点で一律に実施するという意味ではなく、基金全体の連携のあり方を問うものです。</w:t>
      </w:r>
    </w:p>
    <w:p>
      <w:pPr>
        <w:spacing w:after="100"/>
      </w:pPr>
      <w:r>
        <w:rPr>
          <w:b/>
          <w:bCs/>
          <w:color w:val="B00020"/>
        </w:rPr>
        <w:t xml:space="preserve">4（誤）</w:t>
      </w:r>
      <w:r>
        <w:t xml:space="preserve">　公式の拠点紹介は、在外公館に加え、日本語教育機関や文化交流機関等との緊密な連携を明記しています。この2種類の機関を対象から除くという説明は合いません。</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報告書10～11頁によると、東アジアは1,713,833人、東南アジアは1,185,375人で、合計は全体3,794,714人の76.4％です。これは分布の記述であり、地理的・経済的な近さが原因だと、この集計だけから確定する説明ではありません。</w:t>
      </w:r>
    </w:p>
    <w:p>
      <w:pPr>
        <w:spacing w:after="100"/>
      </w:pPr>
      <w:r>
        <w:rPr>
          <w:b/>
          <w:bCs/>
          <w:color w:val="B00020"/>
        </w:rPr>
        <w:t xml:space="preserve">2（誤）</w:t>
      </w:r>
      <w:r>
        <w:t xml:space="preserve">　報告書11頁の地域別原表では、東アジア1,713,833人、北米179,695人など、地域ごとの学習者数に差があります。同数という説明ではありません。</w:t>
      </w:r>
    </w:p>
    <w:p>
      <w:pPr>
        <w:spacing w:after="100"/>
      </w:pPr>
      <w:r>
        <w:rPr>
          <w:b/>
          <w:bCs/>
          <w:color w:val="B00020"/>
        </w:rPr>
        <w:t xml:space="preserve">3（誤）</w:t>
      </w:r>
      <w:r>
        <w:t xml:space="preserve">　同表には北アフリカ4,580人、アフリカ6,616人が記録されています。報告書で分けている両区分ともゼロではありません。</w:t>
      </w:r>
    </w:p>
    <w:p>
      <w:pPr>
        <w:spacing w:after="100"/>
      </w:pPr>
      <w:r>
        <w:rPr>
          <w:b/>
          <w:bCs/>
          <w:color w:val="B00020"/>
        </w:rPr>
        <w:t xml:space="preserve">4（誤）</w:t>
      </w:r>
      <w:r>
        <w:t xml:space="preserve">　同表は、東アジア、東南アジア、大洋州、北米などにも学習者数を記録しています。西欧と東欧だけに限定されません。独習者等を含む全人口の推計には広げません。</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49頁の注10は、同じ感情が生じる情動伝染など、共感という語の日常的な使い方にも触れています。ただし、このモデルは他者の考え・信念・感情を理解し関わるための技能として共感を位置付けており、情動伝染だけには限定しません。</w:t>
      </w:r>
    </w:p>
    <w:p>
      <w:pPr>
        <w:spacing w:after="100"/>
      </w:pPr>
      <w:r>
        <w:rPr>
          <w:b/>
          <w:bCs/>
          <w:color w:val="2E7D32"/>
        </w:rPr>
        <w:t xml:space="preserve">2（正）</w:t>
      </w:r>
      <w:r>
        <w:t xml:space="preserve">　48頁と用語集73頁は、自分の視点から距離を取り、他者の心理的な枠組みや視点を理解する技能として共感を説明します。相手の考えや信念を捉える認知的な視点取得と、感情や必要を捉える情動面の視点取得も含まれます。</w:t>
      </w:r>
    </w:p>
    <w:p>
      <w:pPr>
        <w:spacing w:after="100"/>
      </w:pPr>
      <w:r>
        <w:rPr>
          <w:b/>
          <w:bCs/>
          <w:color w:val="B00020"/>
        </w:rPr>
        <w:t xml:space="preserve">3（誤）</w:t>
      </w:r>
      <w:r>
        <w:t xml:space="preserve">　48–49頁と用語集73頁には、他者の知覚・考え・信念を理解する形態に加え、感情・気持ち・必要を理解する形態も示されています。感情や必要の理解を範囲から除く点が誤りです。</w:t>
      </w:r>
    </w:p>
    <w:p>
      <w:pPr>
        <w:spacing w:after="100"/>
      </w:pPr>
      <w:r>
        <w:rPr>
          <w:b/>
          <w:bCs/>
          <w:color w:val="B00020"/>
        </w:rPr>
        <w:t xml:space="preserve">4（誤）</w:t>
      </w:r>
      <w:r>
        <w:t xml:space="preserve">　49頁と用語集73頁は、相手の状態や事情の理解に基づく思いやり・気遣いをsympathyとして共感の一形態に含めています。他の研究で共感と同情をどう区別するかとは分けて、このモデルの分類に従って判断します。</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RFCDCは、自分の見方の前提や先入観を理解し、それらが判断に及ぼす影響を捉えることを挙げます。理解できるはずだという前提を検討から除く行為は、この観点に合いません。</w:t>
      </w:r>
    </w:p>
    <w:p>
      <w:pPr>
        <w:spacing w:after="100"/>
      </w:pPr>
      <w:r>
        <w:rPr>
          <w:b/>
          <w:bCs/>
          <w:color w:val="B00020"/>
        </w:rPr>
        <w:t xml:space="preserve">2（誤）</w:t>
      </w:r>
      <w:r>
        <w:t xml:space="preserve">　批判的理解は、能動的な振り返りと評価を伴うものです。助言を一度得たという事実だけで見直しを不要とする説明ではありません。同僚への相談自体が改善を保証するわけでもありません。</w:t>
      </w:r>
    </w:p>
    <w:p>
      <w:pPr>
        <w:spacing w:after="100"/>
      </w:pPr>
      <w:r>
        <w:rPr>
          <w:b/>
          <w:bCs/>
          <w:color w:val="2E7D32"/>
        </w:rPr>
        <w:t xml:space="preserve">3（正）</w:t>
      </w:r>
      <w:r>
        <w:t xml:space="preserve">　RFCDCの52–53頁は、自分の前提や偏り、それらが判断に及ぼす影響、自分の力量の限界を理解することを示します。ケースの学習者の反応と教師の見立てを照らす行為に、この観点を適用したものです。相談や変更の効果を確定した説明ではありません。</w:t>
      </w:r>
    </w:p>
    <w:p>
      <w:pPr>
        <w:spacing w:after="100"/>
      </w:pPr>
      <w:r>
        <w:rPr>
          <w:b/>
          <w:bCs/>
          <w:color w:val="B00020"/>
        </w:rPr>
        <w:t xml:space="preserve">4（誤）</w:t>
      </w:r>
      <w:r>
        <w:t xml:space="preserve">　RFCDCは批判的理解を、自動的・習慣的・無反省な解釈と区別します。原因を考え直さず今後の変更も初めから拒否する行為は、振り返って見直すという説明に合いません。</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